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33" w:rsidRDefault="00A83B33">
      <w:pPr>
        <w:rPr>
          <w:b/>
          <w:sz w:val="24"/>
          <w:szCs w:val="24"/>
        </w:rPr>
      </w:pPr>
    </w:p>
    <w:p w:rsidR="00A83B33" w:rsidRDefault="00A83B33">
      <w:pPr>
        <w:rPr>
          <w:b/>
          <w:sz w:val="24"/>
          <w:szCs w:val="24"/>
        </w:rPr>
      </w:pPr>
    </w:p>
    <w:p w:rsidR="00A83B33" w:rsidRDefault="00FC0D84">
      <w:pPr>
        <w:jc w:val="center"/>
        <w:rPr>
          <w:b/>
          <w:sz w:val="24"/>
          <w:szCs w:val="24"/>
        </w:rPr>
      </w:pPr>
      <w:r>
        <w:rPr>
          <w:b/>
          <w:sz w:val="24"/>
          <w:szCs w:val="24"/>
        </w:rPr>
        <w:t>2024-2025</w:t>
      </w:r>
      <w:r>
        <w:rPr>
          <w:sz w:val="24"/>
          <w:szCs w:val="24"/>
        </w:rPr>
        <w:t xml:space="preserve"> </w:t>
      </w:r>
      <w:r>
        <w:rPr>
          <w:b/>
          <w:sz w:val="24"/>
          <w:szCs w:val="24"/>
        </w:rPr>
        <w:t>Erasmus Study Mobility (Russia, Korea)</w:t>
      </w:r>
    </w:p>
    <w:p w:rsidR="00A83B33" w:rsidRDefault="00FC0D84">
      <w:pPr>
        <w:jc w:val="center"/>
        <w:rPr>
          <w:b/>
          <w:sz w:val="24"/>
          <w:szCs w:val="24"/>
        </w:rPr>
      </w:pPr>
      <w:r>
        <w:rPr>
          <w:b/>
          <w:sz w:val="24"/>
          <w:szCs w:val="24"/>
        </w:rPr>
        <w:t>Call for Applications</w:t>
      </w:r>
    </w:p>
    <w:p w:rsidR="00A83B33" w:rsidRDefault="00A83B33">
      <w:pPr>
        <w:rPr>
          <w:b/>
          <w:sz w:val="24"/>
          <w:szCs w:val="24"/>
        </w:rPr>
      </w:pPr>
    </w:p>
    <w:p w:rsidR="00A83B33" w:rsidRDefault="00FC0D84">
      <w:pPr>
        <w:rPr>
          <w:sz w:val="24"/>
          <w:szCs w:val="24"/>
        </w:rPr>
      </w:pPr>
      <w:r>
        <w:rPr>
          <w:b/>
          <w:color w:val="17365D"/>
          <w:sz w:val="24"/>
          <w:szCs w:val="24"/>
        </w:rPr>
        <w:t xml:space="preserve">Application </w:t>
      </w:r>
      <w:r w:rsidR="00832B60">
        <w:rPr>
          <w:b/>
          <w:color w:val="17365D"/>
          <w:sz w:val="24"/>
          <w:szCs w:val="24"/>
        </w:rPr>
        <w:t xml:space="preserve">Deadline and Time </w:t>
      </w:r>
      <w:r>
        <w:rPr>
          <w:b/>
          <w:color w:val="17365D"/>
          <w:sz w:val="24"/>
          <w:szCs w:val="24"/>
        </w:rPr>
        <w:t xml:space="preserve">: </w:t>
      </w:r>
      <w:r>
        <w:rPr>
          <w:sz w:val="24"/>
          <w:szCs w:val="24"/>
        </w:rPr>
        <w:t>April 1, 2024</w:t>
      </w:r>
      <w:r w:rsidR="00832B60">
        <w:rPr>
          <w:sz w:val="24"/>
          <w:szCs w:val="24"/>
        </w:rPr>
        <w:t xml:space="preserve">, 16:00 </w:t>
      </w:r>
      <w:bookmarkStart w:id="0" w:name="_GoBack"/>
      <w:bookmarkEnd w:id="0"/>
    </w:p>
    <w:p w:rsidR="00A83B33" w:rsidRDefault="00A83B33">
      <w:pPr>
        <w:rPr>
          <w:sz w:val="24"/>
          <w:szCs w:val="24"/>
        </w:rPr>
      </w:pPr>
    </w:p>
    <w:p w:rsidR="00A83B33" w:rsidRDefault="00FC0D84">
      <w:pPr>
        <w:rPr>
          <w:sz w:val="24"/>
          <w:szCs w:val="24"/>
        </w:rPr>
      </w:pPr>
      <w:r>
        <w:rPr>
          <w:b/>
          <w:color w:val="17365D"/>
          <w:sz w:val="24"/>
          <w:szCs w:val="24"/>
        </w:rPr>
        <w:t>Mobility period (optional):</w:t>
      </w:r>
      <w:r>
        <w:rPr>
          <w:color w:val="17365D"/>
          <w:sz w:val="24"/>
          <w:szCs w:val="24"/>
        </w:rPr>
        <w:t xml:space="preserve"> </w:t>
      </w:r>
      <w:r>
        <w:rPr>
          <w:sz w:val="24"/>
          <w:szCs w:val="24"/>
        </w:rPr>
        <w:t xml:space="preserve">24-25 Fall, 24-25 </w:t>
      </w:r>
      <w:proofErr w:type="gramStart"/>
      <w:r>
        <w:rPr>
          <w:sz w:val="24"/>
          <w:szCs w:val="24"/>
        </w:rPr>
        <w:t>Spring</w:t>
      </w:r>
      <w:proofErr w:type="gramEnd"/>
      <w:r>
        <w:rPr>
          <w:sz w:val="24"/>
          <w:szCs w:val="24"/>
        </w:rPr>
        <w:t>*</w:t>
      </w:r>
    </w:p>
    <w:p w:rsidR="00A83B33" w:rsidRDefault="00A83B33">
      <w:pPr>
        <w:rPr>
          <w:sz w:val="24"/>
          <w:szCs w:val="24"/>
        </w:rPr>
      </w:pPr>
    </w:p>
    <w:p w:rsidR="00A83B33" w:rsidRDefault="00FC0D84">
      <w:pPr>
        <w:rPr>
          <w:sz w:val="24"/>
          <w:szCs w:val="24"/>
        </w:rPr>
      </w:pPr>
      <w:r>
        <w:rPr>
          <w:sz w:val="24"/>
          <w:szCs w:val="24"/>
        </w:rPr>
        <w:t xml:space="preserve">* </w:t>
      </w:r>
      <w:r w:rsidR="008D785A">
        <w:rPr>
          <w:sz w:val="24"/>
          <w:szCs w:val="24"/>
        </w:rPr>
        <w:t>In the e-gov. application form</w:t>
      </w:r>
      <w:r>
        <w:rPr>
          <w:sz w:val="24"/>
          <w:szCs w:val="24"/>
        </w:rPr>
        <w:t xml:space="preserve"> only “</w:t>
      </w:r>
      <w:proofErr w:type="gramStart"/>
      <w:r>
        <w:rPr>
          <w:sz w:val="24"/>
          <w:szCs w:val="24"/>
        </w:rPr>
        <w:t>Fall</w:t>
      </w:r>
      <w:proofErr w:type="gramEnd"/>
      <w:r>
        <w:rPr>
          <w:sz w:val="24"/>
          <w:szCs w:val="24"/>
        </w:rPr>
        <w:t>” or “Spring” should be selected.</w:t>
      </w:r>
    </w:p>
    <w:p w:rsidR="00A83B33" w:rsidRDefault="00A83B33">
      <w:pPr>
        <w:rPr>
          <w:b/>
          <w:sz w:val="24"/>
          <w:szCs w:val="24"/>
        </w:rPr>
      </w:pPr>
    </w:p>
    <w:p w:rsidR="00A83B33" w:rsidRDefault="00FC0D84">
      <w:pPr>
        <w:rPr>
          <w:b/>
          <w:color w:val="17365D"/>
          <w:sz w:val="24"/>
          <w:szCs w:val="24"/>
        </w:rPr>
      </w:pPr>
      <w:r>
        <w:rPr>
          <w:b/>
          <w:color w:val="17365D"/>
          <w:sz w:val="24"/>
          <w:szCs w:val="24"/>
        </w:rPr>
        <w:t>Application conditions:</w:t>
      </w:r>
    </w:p>
    <w:p w:rsidR="00A83B33" w:rsidRDefault="00A83B33">
      <w:pPr>
        <w:rPr>
          <w:b/>
          <w:sz w:val="24"/>
          <w:szCs w:val="24"/>
        </w:rPr>
      </w:pPr>
    </w:p>
    <w:p w:rsidR="00A83B33" w:rsidRDefault="008D785A">
      <w:pPr>
        <w:numPr>
          <w:ilvl w:val="0"/>
          <w:numId w:val="12"/>
        </w:numPr>
        <w:pBdr>
          <w:top w:val="nil"/>
          <w:left w:val="nil"/>
          <w:bottom w:val="nil"/>
          <w:right w:val="nil"/>
          <w:between w:val="nil"/>
        </w:pBdr>
        <w:ind w:left="426"/>
        <w:jc w:val="both"/>
        <w:rPr>
          <w:color w:val="000000"/>
          <w:sz w:val="24"/>
          <w:szCs w:val="24"/>
        </w:rPr>
      </w:pPr>
      <w:r>
        <w:rPr>
          <w:b/>
          <w:color w:val="000000"/>
          <w:sz w:val="24"/>
          <w:szCs w:val="24"/>
        </w:rPr>
        <w:t>Full-time</w:t>
      </w:r>
      <w:r w:rsidR="00FC0D84">
        <w:rPr>
          <w:b/>
          <w:color w:val="000000"/>
          <w:sz w:val="24"/>
          <w:szCs w:val="24"/>
        </w:rPr>
        <w:t xml:space="preserve"> student </w:t>
      </w:r>
      <w:r w:rsidR="00FC0D84">
        <w:rPr>
          <w:color w:val="000000"/>
          <w:sz w:val="24"/>
          <w:szCs w:val="24"/>
        </w:rPr>
        <w:t xml:space="preserve">enrolled in a higher education program at any of the formal education levels (undergraduate, </w:t>
      </w:r>
      <w:r>
        <w:rPr>
          <w:color w:val="000000"/>
          <w:sz w:val="24"/>
          <w:szCs w:val="24"/>
        </w:rPr>
        <w:t>masters</w:t>
      </w:r>
      <w:r w:rsidR="00FC0D84">
        <w:rPr>
          <w:color w:val="000000"/>
          <w:sz w:val="24"/>
          <w:szCs w:val="24"/>
        </w:rPr>
        <w:t xml:space="preserve">, doctorate) within the student's higher education </w:t>
      </w:r>
      <w:r>
        <w:rPr>
          <w:color w:val="000000"/>
          <w:sz w:val="24"/>
          <w:szCs w:val="24"/>
        </w:rPr>
        <w:t>institution.</w:t>
      </w:r>
    </w:p>
    <w:p w:rsidR="00A83B33" w:rsidRDefault="00A83B33">
      <w:pPr>
        <w:pBdr>
          <w:top w:val="nil"/>
          <w:left w:val="nil"/>
          <w:bottom w:val="nil"/>
          <w:right w:val="nil"/>
          <w:between w:val="nil"/>
        </w:pBdr>
        <w:ind w:left="426"/>
        <w:jc w:val="both"/>
        <w:rPr>
          <w:color w:val="000000"/>
          <w:sz w:val="24"/>
          <w:szCs w:val="24"/>
        </w:rPr>
      </w:pPr>
    </w:p>
    <w:p w:rsidR="00A83B33" w:rsidRDefault="00FC0D84">
      <w:pPr>
        <w:numPr>
          <w:ilvl w:val="0"/>
          <w:numId w:val="12"/>
        </w:numPr>
        <w:pBdr>
          <w:top w:val="nil"/>
          <w:left w:val="nil"/>
          <w:bottom w:val="nil"/>
          <w:right w:val="nil"/>
          <w:between w:val="nil"/>
        </w:pBdr>
        <w:ind w:left="426"/>
        <w:jc w:val="both"/>
        <w:rPr>
          <w:color w:val="000000"/>
          <w:sz w:val="24"/>
          <w:szCs w:val="24"/>
        </w:rPr>
      </w:pPr>
      <w:r>
        <w:rPr>
          <w:color w:val="000000"/>
          <w:sz w:val="24"/>
          <w:szCs w:val="24"/>
        </w:rPr>
        <w:t>Students enrolled in an undergraduate program at our university can only apply for long-term (2-12 months) physical or mixed Student Learning Mobility as of their 2nd semester (excluding the preparatory class).</w:t>
      </w:r>
    </w:p>
    <w:p w:rsidR="00A83B33" w:rsidRDefault="00A83B33">
      <w:pPr>
        <w:pBdr>
          <w:top w:val="nil"/>
          <w:left w:val="nil"/>
          <w:bottom w:val="nil"/>
          <w:right w:val="nil"/>
          <w:between w:val="nil"/>
        </w:pBdr>
        <w:ind w:left="720"/>
        <w:rPr>
          <w:color w:val="000000"/>
          <w:sz w:val="24"/>
          <w:szCs w:val="24"/>
        </w:rPr>
      </w:pPr>
    </w:p>
    <w:p w:rsidR="00A83B33" w:rsidRDefault="00FC0D84">
      <w:pPr>
        <w:pBdr>
          <w:top w:val="nil"/>
          <w:left w:val="nil"/>
          <w:bottom w:val="nil"/>
          <w:right w:val="nil"/>
          <w:between w:val="nil"/>
        </w:pBdr>
        <w:ind w:left="426"/>
        <w:jc w:val="both"/>
        <w:rPr>
          <w:color w:val="000000"/>
          <w:sz w:val="24"/>
          <w:szCs w:val="24"/>
        </w:rPr>
      </w:pPr>
      <w:r>
        <w:rPr>
          <w:color w:val="666666"/>
          <w:sz w:val="24"/>
          <w:szCs w:val="24"/>
        </w:rPr>
        <w:t xml:space="preserve">Example: A student who has completed the preparatory school and is studying in the 1st or 2nd semester of his/her education can </w:t>
      </w:r>
      <w:r w:rsidR="008D785A">
        <w:rPr>
          <w:color w:val="666666"/>
          <w:sz w:val="24"/>
          <w:szCs w:val="24"/>
        </w:rPr>
        <w:t>apply to go in the 3rd semester</w:t>
      </w:r>
      <w:r>
        <w:rPr>
          <w:color w:val="000000"/>
          <w:sz w:val="24"/>
          <w:szCs w:val="24"/>
        </w:rPr>
        <w:t>.</w:t>
      </w:r>
    </w:p>
    <w:p w:rsidR="00A83B33" w:rsidRDefault="00A83B33">
      <w:pPr>
        <w:pBdr>
          <w:top w:val="nil"/>
          <w:left w:val="nil"/>
          <w:bottom w:val="nil"/>
          <w:right w:val="nil"/>
          <w:between w:val="nil"/>
        </w:pBdr>
        <w:ind w:left="426"/>
        <w:jc w:val="both"/>
        <w:rPr>
          <w:color w:val="000000"/>
          <w:sz w:val="24"/>
          <w:szCs w:val="24"/>
        </w:rPr>
      </w:pPr>
    </w:p>
    <w:p w:rsidR="00A83B33" w:rsidRDefault="008D785A">
      <w:pPr>
        <w:pBdr>
          <w:top w:val="nil"/>
          <w:left w:val="nil"/>
          <w:bottom w:val="nil"/>
          <w:right w:val="nil"/>
          <w:between w:val="nil"/>
        </w:pBdr>
        <w:ind w:left="426"/>
        <w:jc w:val="both"/>
        <w:rPr>
          <w:color w:val="000000"/>
          <w:sz w:val="24"/>
          <w:szCs w:val="24"/>
        </w:rPr>
      </w:pPr>
      <w:r>
        <w:rPr>
          <w:sz w:val="24"/>
          <w:szCs w:val="24"/>
        </w:rPr>
        <w:t>In this application call,</w:t>
      </w:r>
      <w:r w:rsidR="00FC0D84">
        <w:rPr>
          <w:sz w:val="24"/>
          <w:szCs w:val="24"/>
        </w:rPr>
        <w:t xml:space="preserve"> </w:t>
      </w:r>
      <w:r w:rsidR="00FC0D84">
        <w:rPr>
          <w:color w:val="000000"/>
          <w:sz w:val="24"/>
          <w:szCs w:val="24"/>
        </w:rPr>
        <w:t>there are quotas only for undergraduate students.</w:t>
      </w:r>
    </w:p>
    <w:p w:rsidR="00A83B33" w:rsidRDefault="00A83B33">
      <w:pPr>
        <w:pBdr>
          <w:top w:val="nil"/>
          <w:left w:val="nil"/>
          <w:bottom w:val="nil"/>
          <w:right w:val="nil"/>
          <w:between w:val="nil"/>
        </w:pBdr>
        <w:ind w:left="426"/>
        <w:jc w:val="both"/>
        <w:rPr>
          <w:color w:val="000000"/>
          <w:sz w:val="24"/>
          <w:szCs w:val="24"/>
        </w:rPr>
      </w:pPr>
    </w:p>
    <w:p w:rsidR="00A83B33" w:rsidRDefault="00FC0D84">
      <w:pPr>
        <w:numPr>
          <w:ilvl w:val="0"/>
          <w:numId w:val="12"/>
        </w:numPr>
        <w:pBdr>
          <w:top w:val="nil"/>
          <w:left w:val="nil"/>
          <w:bottom w:val="nil"/>
          <w:right w:val="nil"/>
          <w:between w:val="nil"/>
        </w:pBdr>
        <w:ind w:left="426"/>
        <w:jc w:val="both"/>
        <w:rPr>
          <w:color w:val="000000"/>
          <w:sz w:val="24"/>
          <w:szCs w:val="24"/>
        </w:rPr>
      </w:pPr>
      <w:r>
        <w:rPr>
          <w:color w:val="000000"/>
          <w:sz w:val="24"/>
          <w:szCs w:val="24"/>
        </w:rPr>
        <w:t>General Grade Point Average (GPA); (Semester Grade Point Average is not taken into account)</w:t>
      </w:r>
    </w:p>
    <w:p w:rsidR="00A83B33" w:rsidRDefault="00A83B33">
      <w:pPr>
        <w:pBdr>
          <w:top w:val="nil"/>
          <w:left w:val="nil"/>
          <w:bottom w:val="nil"/>
          <w:right w:val="nil"/>
          <w:between w:val="nil"/>
        </w:pBdr>
        <w:ind w:left="426"/>
        <w:jc w:val="both"/>
        <w:rPr>
          <w:color w:val="000000"/>
          <w:sz w:val="24"/>
          <w:szCs w:val="24"/>
        </w:rPr>
      </w:pPr>
    </w:p>
    <w:p w:rsidR="00A83B33" w:rsidRDefault="00FC0D84">
      <w:pPr>
        <w:numPr>
          <w:ilvl w:val="0"/>
          <w:numId w:val="4"/>
        </w:numPr>
        <w:pBdr>
          <w:top w:val="nil"/>
          <w:left w:val="nil"/>
          <w:bottom w:val="nil"/>
          <w:right w:val="nil"/>
          <w:between w:val="nil"/>
        </w:pBdr>
        <w:ind w:left="786"/>
        <w:jc w:val="both"/>
        <w:rPr>
          <w:color w:val="000000"/>
          <w:sz w:val="24"/>
          <w:szCs w:val="24"/>
        </w:rPr>
      </w:pPr>
      <w:r>
        <w:rPr>
          <w:color w:val="000000"/>
          <w:sz w:val="24"/>
          <w:szCs w:val="24"/>
        </w:rPr>
        <w:t>The cumulative academic grade point average of first level students must be at least 2.20/4.00 (2023-2024 fall semester grades must be included.)</w:t>
      </w:r>
    </w:p>
    <w:p w:rsidR="00A83B33" w:rsidRDefault="00A83B33">
      <w:pPr>
        <w:pBdr>
          <w:top w:val="nil"/>
          <w:left w:val="nil"/>
          <w:bottom w:val="nil"/>
          <w:right w:val="nil"/>
          <w:between w:val="nil"/>
        </w:pBdr>
        <w:ind w:left="786"/>
        <w:jc w:val="both"/>
        <w:rPr>
          <w:color w:val="000000"/>
          <w:sz w:val="24"/>
          <w:szCs w:val="24"/>
        </w:rPr>
      </w:pPr>
    </w:p>
    <w:p w:rsidR="00A83B33" w:rsidRDefault="00FC0D84">
      <w:pPr>
        <w:numPr>
          <w:ilvl w:val="0"/>
          <w:numId w:val="4"/>
        </w:numPr>
        <w:pBdr>
          <w:top w:val="nil"/>
          <w:left w:val="nil"/>
          <w:bottom w:val="nil"/>
          <w:right w:val="nil"/>
          <w:between w:val="nil"/>
        </w:pBdr>
        <w:ind w:left="786"/>
        <w:jc w:val="both"/>
        <w:rPr>
          <w:color w:val="000000"/>
          <w:sz w:val="24"/>
          <w:szCs w:val="24"/>
        </w:rPr>
      </w:pPr>
      <w:r>
        <w:rPr>
          <w:color w:val="000000"/>
          <w:sz w:val="24"/>
          <w:szCs w:val="24"/>
        </w:rPr>
        <w:t>Transcript has not yet been created at the application stage</w:t>
      </w:r>
    </w:p>
    <w:p w:rsidR="00A83B33" w:rsidRDefault="00A83B33">
      <w:pPr>
        <w:pBdr>
          <w:top w:val="nil"/>
          <w:left w:val="nil"/>
          <w:bottom w:val="nil"/>
          <w:right w:val="nil"/>
          <w:between w:val="nil"/>
        </w:pBdr>
        <w:ind w:left="720"/>
        <w:rPr>
          <w:color w:val="000000"/>
          <w:sz w:val="24"/>
          <w:szCs w:val="24"/>
        </w:rPr>
      </w:pPr>
    </w:p>
    <w:p w:rsidR="00A83B33" w:rsidRDefault="00FC0D84">
      <w:pPr>
        <w:numPr>
          <w:ilvl w:val="0"/>
          <w:numId w:val="11"/>
        </w:numPr>
        <w:pBdr>
          <w:top w:val="nil"/>
          <w:left w:val="nil"/>
          <w:bottom w:val="nil"/>
          <w:right w:val="nil"/>
          <w:between w:val="nil"/>
        </w:pBdr>
        <w:jc w:val="both"/>
        <w:rPr>
          <w:color w:val="000000"/>
          <w:sz w:val="24"/>
          <w:szCs w:val="24"/>
        </w:rPr>
      </w:pPr>
      <w:r>
        <w:rPr>
          <w:color w:val="000000"/>
          <w:sz w:val="24"/>
          <w:szCs w:val="24"/>
        </w:rPr>
        <w:t>For students transferring from associate degree, associate degree graduation grade must be at least 2.20/4.00</w:t>
      </w:r>
    </w:p>
    <w:p w:rsidR="00A83B33" w:rsidRDefault="00FC0D84">
      <w:pPr>
        <w:numPr>
          <w:ilvl w:val="0"/>
          <w:numId w:val="11"/>
        </w:numPr>
        <w:pBdr>
          <w:top w:val="nil"/>
          <w:left w:val="nil"/>
          <w:bottom w:val="nil"/>
          <w:right w:val="nil"/>
          <w:between w:val="nil"/>
        </w:pBdr>
        <w:jc w:val="both"/>
        <w:rPr>
          <w:color w:val="000000"/>
          <w:sz w:val="24"/>
          <w:szCs w:val="24"/>
        </w:rPr>
      </w:pPr>
      <w:r>
        <w:rPr>
          <w:color w:val="000000"/>
          <w:sz w:val="24"/>
          <w:szCs w:val="24"/>
        </w:rPr>
        <w:t>For first-year students, the high school graduation grade must be at least 75/100.</w:t>
      </w:r>
    </w:p>
    <w:p w:rsidR="00A83B33" w:rsidRDefault="00A83B33">
      <w:pPr>
        <w:pBdr>
          <w:top w:val="nil"/>
          <w:left w:val="nil"/>
          <w:bottom w:val="nil"/>
          <w:right w:val="nil"/>
          <w:between w:val="nil"/>
        </w:pBdr>
        <w:ind w:left="426"/>
        <w:jc w:val="both"/>
        <w:rPr>
          <w:color w:val="000000"/>
          <w:sz w:val="24"/>
          <w:szCs w:val="24"/>
        </w:rPr>
      </w:pPr>
    </w:p>
    <w:p w:rsidR="00A83B33" w:rsidRDefault="00FC0D84">
      <w:pPr>
        <w:pBdr>
          <w:top w:val="nil"/>
          <w:left w:val="nil"/>
          <w:bottom w:val="nil"/>
          <w:right w:val="nil"/>
          <w:between w:val="nil"/>
        </w:pBdr>
        <w:ind w:left="426"/>
        <w:jc w:val="both"/>
        <w:rPr>
          <w:color w:val="000000"/>
          <w:sz w:val="24"/>
          <w:szCs w:val="24"/>
        </w:rPr>
      </w:pPr>
      <w:r>
        <w:rPr>
          <w:color w:val="000000"/>
          <w:sz w:val="24"/>
          <w:szCs w:val="24"/>
        </w:rPr>
        <w:t>**2023-2024 fall semester grades must be included.</w:t>
      </w:r>
    </w:p>
    <w:p w:rsidR="00A83B33" w:rsidRDefault="00A83B33">
      <w:pPr>
        <w:jc w:val="both"/>
        <w:rPr>
          <w:sz w:val="24"/>
          <w:szCs w:val="24"/>
        </w:rPr>
      </w:pPr>
    </w:p>
    <w:p w:rsidR="00A83B33" w:rsidRDefault="00FC0D84">
      <w:pPr>
        <w:numPr>
          <w:ilvl w:val="0"/>
          <w:numId w:val="12"/>
        </w:numPr>
        <w:pBdr>
          <w:top w:val="nil"/>
          <w:left w:val="nil"/>
          <w:bottom w:val="nil"/>
          <w:right w:val="nil"/>
          <w:between w:val="nil"/>
        </w:pBdr>
        <w:ind w:left="426"/>
        <w:jc w:val="both"/>
        <w:rPr>
          <w:color w:val="000000"/>
          <w:sz w:val="24"/>
          <w:szCs w:val="24"/>
        </w:rPr>
      </w:pPr>
      <w:r>
        <w:rPr>
          <w:b/>
          <w:color w:val="000000"/>
          <w:sz w:val="24"/>
          <w:szCs w:val="24"/>
        </w:rPr>
        <w:t xml:space="preserve">Having a sufficient number of courses or ECTS credit load </w:t>
      </w:r>
      <w:r>
        <w:rPr>
          <w:color w:val="000000"/>
          <w:sz w:val="24"/>
          <w:szCs w:val="24"/>
        </w:rPr>
        <w:t xml:space="preserve">that is not a course for study </w:t>
      </w:r>
      <w:r w:rsidR="008D785A">
        <w:rPr>
          <w:color w:val="000000"/>
          <w:sz w:val="24"/>
          <w:szCs w:val="24"/>
        </w:rPr>
        <w:t>mobility.</w:t>
      </w:r>
    </w:p>
    <w:p w:rsidR="00A83B33" w:rsidRDefault="00A83B33">
      <w:pPr>
        <w:pBdr>
          <w:top w:val="nil"/>
          <w:left w:val="nil"/>
          <w:bottom w:val="nil"/>
          <w:right w:val="nil"/>
          <w:between w:val="nil"/>
        </w:pBdr>
        <w:jc w:val="both"/>
        <w:rPr>
          <w:color w:val="000000"/>
          <w:sz w:val="24"/>
          <w:szCs w:val="24"/>
        </w:rPr>
      </w:pPr>
    </w:p>
    <w:p w:rsidR="00A83B33" w:rsidRDefault="00FC0D84">
      <w:pPr>
        <w:pBdr>
          <w:top w:val="nil"/>
          <w:left w:val="nil"/>
          <w:bottom w:val="nil"/>
          <w:right w:val="nil"/>
          <w:between w:val="nil"/>
        </w:pBdr>
        <w:ind w:left="426"/>
        <w:jc w:val="both"/>
        <w:rPr>
          <w:color w:val="666666"/>
          <w:sz w:val="24"/>
          <w:szCs w:val="24"/>
        </w:rPr>
      </w:pPr>
      <w:r>
        <w:rPr>
          <w:color w:val="666666"/>
          <w:sz w:val="24"/>
          <w:szCs w:val="24"/>
        </w:rPr>
        <w:lastRenderedPageBreak/>
        <w:t>Example: The application of a student who is in the 4th year and has 10 ECTS credits left to complete in order to graduate is not valid for education mobility.</w:t>
      </w:r>
    </w:p>
    <w:p w:rsidR="00A83B33" w:rsidRDefault="00A83B33">
      <w:pPr>
        <w:pBdr>
          <w:top w:val="nil"/>
          <w:left w:val="nil"/>
          <w:bottom w:val="nil"/>
          <w:right w:val="nil"/>
          <w:between w:val="nil"/>
        </w:pBdr>
        <w:ind w:left="426"/>
        <w:jc w:val="both"/>
        <w:rPr>
          <w:color w:val="000000"/>
          <w:sz w:val="24"/>
          <w:szCs w:val="24"/>
        </w:rPr>
      </w:pPr>
    </w:p>
    <w:p w:rsidR="00A83B33" w:rsidRDefault="008D785A">
      <w:pPr>
        <w:pBdr>
          <w:top w:val="nil"/>
          <w:left w:val="nil"/>
          <w:bottom w:val="nil"/>
          <w:right w:val="nil"/>
          <w:between w:val="nil"/>
        </w:pBdr>
        <w:ind w:left="426"/>
        <w:jc w:val="both"/>
        <w:rPr>
          <w:color w:val="000000"/>
          <w:sz w:val="24"/>
          <w:szCs w:val="24"/>
        </w:rPr>
      </w:pPr>
      <w:r>
        <w:rPr>
          <w:color w:val="000000"/>
          <w:sz w:val="24"/>
          <w:szCs w:val="24"/>
        </w:rPr>
        <w:t xml:space="preserve">Students </w:t>
      </w:r>
      <w:r w:rsidR="00FC0D84">
        <w:rPr>
          <w:color w:val="000000"/>
          <w:sz w:val="24"/>
          <w:szCs w:val="24"/>
        </w:rPr>
        <w:t xml:space="preserve">who do not have a course load and are in </w:t>
      </w:r>
      <w:r w:rsidR="00FC0D84">
        <w:rPr>
          <w:b/>
          <w:color w:val="000000"/>
          <w:sz w:val="24"/>
          <w:szCs w:val="24"/>
        </w:rPr>
        <w:t xml:space="preserve">the thesis </w:t>
      </w:r>
      <w:r>
        <w:rPr>
          <w:color w:val="000000"/>
          <w:sz w:val="24"/>
          <w:szCs w:val="24"/>
        </w:rPr>
        <w:t>period are eligible to participate in Erasmus Mobility and thesis studies for one semester is equal to 30 ECTS.</w:t>
      </w:r>
    </w:p>
    <w:p w:rsidR="00A83B33" w:rsidRDefault="00A83B33">
      <w:pPr>
        <w:jc w:val="both"/>
        <w:rPr>
          <w:sz w:val="24"/>
          <w:szCs w:val="24"/>
        </w:rPr>
      </w:pPr>
    </w:p>
    <w:p w:rsidR="00A83B33" w:rsidRDefault="00FC0D84">
      <w:pPr>
        <w:numPr>
          <w:ilvl w:val="0"/>
          <w:numId w:val="12"/>
        </w:numPr>
        <w:pBdr>
          <w:top w:val="nil"/>
          <w:left w:val="nil"/>
          <w:bottom w:val="nil"/>
          <w:right w:val="nil"/>
          <w:between w:val="nil"/>
        </w:pBdr>
        <w:ind w:left="426"/>
        <w:jc w:val="both"/>
        <w:rPr>
          <w:color w:val="000000"/>
          <w:sz w:val="24"/>
          <w:szCs w:val="24"/>
        </w:rPr>
      </w:pPr>
      <w:r>
        <w:rPr>
          <w:color w:val="000000"/>
          <w:sz w:val="24"/>
          <w:szCs w:val="24"/>
        </w:rPr>
        <w:t>If, within the current education level, the student has benefited from higher education mobility activities in the 2014-2020 and/or 2021-2027 Erasmus+ periods, the total period with the new activity should not exceed 12 months.</w:t>
      </w:r>
    </w:p>
    <w:p w:rsidR="00A83B33" w:rsidRDefault="00A83B33">
      <w:pPr>
        <w:pBdr>
          <w:top w:val="nil"/>
          <w:left w:val="nil"/>
          <w:bottom w:val="nil"/>
          <w:right w:val="nil"/>
          <w:between w:val="nil"/>
        </w:pBdr>
        <w:jc w:val="both"/>
        <w:rPr>
          <w:sz w:val="24"/>
          <w:szCs w:val="24"/>
        </w:rPr>
      </w:pPr>
    </w:p>
    <w:p w:rsidR="00A83B33" w:rsidRDefault="00FC0D84">
      <w:pPr>
        <w:ind w:left="426"/>
        <w:jc w:val="both"/>
        <w:rPr>
          <w:color w:val="999999"/>
          <w:sz w:val="24"/>
          <w:szCs w:val="24"/>
        </w:rPr>
      </w:pPr>
      <w:r>
        <w:rPr>
          <w:color w:val="999999"/>
          <w:sz w:val="24"/>
          <w:szCs w:val="24"/>
        </w:rPr>
        <w:t>Example: If a student has completed an Erasmus study or internship mobility for 7 months (with or without a grant), he cannot apply for a mobility that will last 6 months. He/she can apply for a mobility period that will last a maximum of 5 months.</w:t>
      </w:r>
    </w:p>
    <w:p w:rsidR="00A83B33" w:rsidRDefault="00A83B33">
      <w:pPr>
        <w:pBdr>
          <w:top w:val="nil"/>
          <w:left w:val="nil"/>
          <w:bottom w:val="nil"/>
          <w:right w:val="nil"/>
          <w:between w:val="nil"/>
        </w:pBdr>
        <w:ind w:left="426"/>
        <w:jc w:val="both"/>
        <w:rPr>
          <w:color w:val="000000"/>
          <w:sz w:val="24"/>
          <w:szCs w:val="24"/>
        </w:rPr>
      </w:pPr>
    </w:p>
    <w:p w:rsidR="00A83B33" w:rsidRDefault="00FC0D84">
      <w:pPr>
        <w:numPr>
          <w:ilvl w:val="0"/>
          <w:numId w:val="12"/>
        </w:numPr>
        <w:pBdr>
          <w:top w:val="nil"/>
          <w:left w:val="nil"/>
          <w:bottom w:val="nil"/>
          <w:right w:val="nil"/>
          <w:between w:val="nil"/>
        </w:pBdr>
        <w:ind w:left="426"/>
        <w:jc w:val="both"/>
        <w:rPr>
          <w:color w:val="000000"/>
          <w:sz w:val="24"/>
          <w:szCs w:val="24"/>
        </w:rPr>
      </w:pPr>
      <w:r>
        <w:rPr>
          <w:color w:val="000000"/>
          <w:sz w:val="24"/>
          <w:szCs w:val="24"/>
        </w:rPr>
        <w:t>*Students studying in a double major can apply for mobility from only one major in the same application period. It is not possible to change departments after the application</w:t>
      </w:r>
      <w:r w:rsidR="008D785A">
        <w:rPr>
          <w:color w:val="000000"/>
          <w:sz w:val="24"/>
          <w:szCs w:val="24"/>
        </w:rPr>
        <w:t>.</w:t>
      </w:r>
    </w:p>
    <w:p w:rsidR="00A83B33" w:rsidRDefault="00A83B33">
      <w:pPr>
        <w:jc w:val="both"/>
        <w:rPr>
          <w:b/>
          <w:color w:val="17365D"/>
          <w:sz w:val="24"/>
          <w:szCs w:val="24"/>
        </w:rPr>
      </w:pPr>
    </w:p>
    <w:p w:rsidR="00A83B33" w:rsidRDefault="00FC0D84">
      <w:pPr>
        <w:jc w:val="both"/>
        <w:rPr>
          <w:b/>
          <w:color w:val="17365D"/>
          <w:sz w:val="24"/>
          <w:szCs w:val="24"/>
        </w:rPr>
      </w:pPr>
      <w:r>
        <w:rPr>
          <w:b/>
          <w:color w:val="17365D"/>
          <w:sz w:val="24"/>
          <w:szCs w:val="24"/>
        </w:rPr>
        <w:t>Online Promotional Seminars:</w:t>
      </w:r>
    </w:p>
    <w:p w:rsidR="00A83B33" w:rsidRDefault="00A83B33">
      <w:pPr>
        <w:jc w:val="both"/>
        <w:rPr>
          <w:b/>
          <w:color w:val="17365D"/>
          <w:sz w:val="24"/>
          <w:szCs w:val="24"/>
        </w:rPr>
      </w:pPr>
    </w:p>
    <w:p w:rsidR="00A83B33" w:rsidRDefault="00FC0D84">
      <w:pPr>
        <w:numPr>
          <w:ilvl w:val="0"/>
          <w:numId w:val="5"/>
        </w:numPr>
        <w:jc w:val="both"/>
        <w:rPr>
          <w:sz w:val="24"/>
          <w:szCs w:val="24"/>
        </w:rPr>
      </w:pPr>
      <w:r>
        <w:rPr>
          <w:color w:val="17365D"/>
          <w:sz w:val="24"/>
          <w:szCs w:val="24"/>
        </w:rPr>
        <w:t xml:space="preserve">15.03.2024, Friday - 12:00 </w:t>
      </w:r>
      <w:hyperlink r:id="rId8">
        <w:r>
          <w:rPr>
            <w:color w:val="1155CC"/>
            <w:sz w:val="24"/>
            <w:szCs w:val="24"/>
            <w:u w:val="single"/>
          </w:rPr>
          <w:t>https://meet.google.com/edt-oxtn-fvh</w:t>
        </w:r>
      </w:hyperlink>
    </w:p>
    <w:p w:rsidR="00A83B33" w:rsidRDefault="00FC0D84">
      <w:pPr>
        <w:numPr>
          <w:ilvl w:val="0"/>
          <w:numId w:val="5"/>
        </w:numPr>
        <w:jc w:val="both"/>
        <w:rPr>
          <w:sz w:val="24"/>
          <w:szCs w:val="24"/>
        </w:rPr>
      </w:pPr>
      <w:r>
        <w:rPr>
          <w:color w:val="17365D"/>
          <w:sz w:val="24"/>
          <w:szCs w:val="24"/>
        </w:rPr>
        <w:t xml:space="preserve">22.03.2024, Friday - 14:00 </w:t>
      </w:r>
      <w:hyperlink r:id="rId9">
        <w:r>
          <w:rPr>
            <w:color w:val="1155CC"/>
            <w:sz w:val="24"/>
            <w:szCs w:val="24"/>
            <w:u w:val="single"/>
          </w:rPr>
          <w:t>https://meet.google.com/tyc-mhhk-qrb</w:t>
        </w:r>
      </w:hyperlink>
    </w:p>
    <w:p w:rsidR="00A83B33" w:rsidRDefault="00FC0D84">
      <w:pPr>
        <w:numPr>
          <w:ilvl w:val="0"/>
          <w:numId w:val="5"/>
        </w:numPr>
        <w:jc w:val="both"/>
        <w:rPr>
          <w:sz w:val="24"/>
          <w:szCs w:val="24"/>
        </w:rPr>
      </w:pPr>
      <w:r>
        <w:rPr>
          <w:color w:val="17365D"/>
          <w:sz w:val="24"/>
          <w:szCs w:val="24"/>
        </w:rPr>
        <w:t xml:space="preserve">29.03.2024, Friday - 16:00 </w:t>
      </w:r>
      <w:hyperlink r:id="rId10">
        <w:r>
          <w:rPr>
            <w:color w:val="1155CC"/>
            <w:sz w:val="24"/>
            <w:szCs w:val="24"/>
            <w:u w:val="single"/>
          </w:rPr>
          <w:t>https://meet.google.com/fnk-dbzs-agx</w:t>
        </w:r>
      </w:hyperlink>
    </w:p>
    <w:p w:rsidR="00A83B33" w:rsidRDefault="00A83B33">
      <w:pPr>
        <w:jc w:val="both"/>
        <w:rPr>
          <w:b/>
          <w:color w:val="17365D"/>
          <w:sz w:val="24"/>
          <w:szCs w:val="24"/>
        </w:rPr>
      </w:pPr>
    </w:p>
    <w:p w:rsidR="00A83B33" w:rsidRDefault="00FC0D84">
      <w:pPr>
        <w:jc w:val="both"/>
        <w:rPr>
          <w:b/>
          <w:color w:val="17365D"/>
          <w:sz w:val="24"/>
          <w:szCs w:val="24"/>
        </w:rPr>
      </w:pPr>
      <w:r>
        <w:rPr>
          <w:b/>
          <w:color w:val="17365D"/>
          <w:sz w:val="24"/>
          <w:szCs w:val="24"/>
        </w:rPr>
        <w:t>Education language:</w:t>
      </w:r>
    </w:p>
    <w:p w:rsidR="00A83B33" w:rsidRDefault="00A83B33">
      <w:pPr>
        <w:jc w:val="both"/>
        <w:rPr>
          <w:b/>
          <w:color w:val="17365D"/>
          <w:sz w:val="24"/>
          <w:szCs w:val="24"/>
        </w:rPr>
      </w:pPr>
    </w:p>
    <w:tbl>
      <w:tblPr>
        <w:tblStyle w:val="a"/>
        <w:tblW w:w="8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1"/>
        <w:gridCol w:w="5482"/>
      </w:tblGrid>
      <w:tr w:rsidR="00A83B33">
        <w:trPr>
          <w:cantSplit/>
          <w:trHeight w:val="642"/>
        </w:trPr>
        <w:tc>
          <w:tcPr>
            <w:tcW w:w="3461" w:type="dxa"/>
            <w:shd w:val="clear" w:color="auto" w:fill="95B3D7"/>
            <w:vAlign w:val="center"/>
          </w:tcPr>
          <w:p w:rsidR="00A83B33" w:rsidRDefault="00FC0D84">
            <w:pPr>
              <w:jc w:val="both"/>
              <w:rPr>
                <w:b/>
                <w:color w:val="FFFFFF"/>
                <w:sz w:val="24"/>
                <w:szCs w:val="24"/>
              </w:rPr>
            </w:pPr>
            <w:r>
              <w:rPr>
                <w:b/>
                <w:color w:val="FFFFFF"/>
                <w:sz w:val="24"/>
                <w:szCs w:val="24"/>
              </w:rPr>
              <w:t>University Name</w:t>
            </w:r>
          </w:p>
        </w:tc>
        <w:tc>
          <w:tcPr>
            <w:tcW w:w="5482" w:type="dxa"/>
            <w:shd w:val="clear" w:color="auto" w:fill="95B3D7"/>
            <w:vAlign w:val="center"/>
          </w:tcPr>
          <w:p w:rsidR="00A83B33" w:rsidRDefault="00FC0D84">
            <w:pPr>
              <w:jc w:val="both"/>
              <w:rPr>
                <w:b/>
                <w:color w:val="FFFFFF"/>
                <w:sz w:val="24"/>
                <w:szCs w:val="24"/>
              </w:rPr>
            </w:pPr>
            <w:r>
              <w:rPr>
                <w:b/>
                <w:color w:val="FFFFFF"/>
                <w:sz w:val="24"/>
                <w:szCs w:val="24"/>
              </w:rPr>
              <w:t>Education language*</w:t>
            </w:r>
          </w:p>
        </w:tc>
      </w:tr>
      <w:tr w:rsidR="00A83B33">
        <w:trPr>
          <w:trHeight w:val="395"/>
        </w:trPr>
        <w:tc>
          <w:tcPr>
            <w:tcW w:w="3461" w:type="dxa"/>
            <w:vMerge w:val="restart"/>
            <w:vAlign w:val="center"/>
          </w:tcPr>
          <w:p w:rsidR="00A83B33" w:rsidRDefault="00FC0D84">
            <w:pPr>
              <w:rPr>
                <w:sz w:val="24"/>
                <w:szCs w:val="24"/>
              </w:rPr>
            </w:pPr>
            <w:proofErr w:type="spellStart"/>
            <w:r>
              <w:rPr>
                <w:sz w:val="24"/>
                <w:szCs w:val="24"/>
              </w:rPr>
              <w:t>Myongji</w:t>
            </w:r>
            <w:proofErr w:type="spellEnd"/>
            <w:r>
              <w:rPr>
                <w:sz w:val="24"/>
                <w:szCs w:val="24"/>
              </w:rPr>
              <w:t xml:space="preserve"> University</w:t>
            </w:r>
          </w:p>
        </w:tc>
        <w:tc>
          <w:tcPr>
            <w:tcW w:w="5482" w:type="dxa"/>
            <w:vAlign w:val="center"/>
          </w:tcPr>
          <w:p w:rsidR="00A83B33" w:rsidRDefault="00FC0D84">
            <w:pPr>
              <w:rPr>
                <w:sz w:val="24"/>
                <w:szCs w:val="24"/>
              </w:rPr>
            </w:pPr>
            <w:r>
              <w:rPr>
                <w:sz w:val="24"/>
                <w:szCs w:val="24"/>
              </w:rPr>
              <w:t>English</w:t>
            </w:r>
          </w:p>
        </w:tc>
      </w:tr>
      <w:tr w:rsidR="00A83B33">
        <w:trPr>
          <w:trHeight w:val="350"/>
        </w:trPr>
        <w:tc>
          <w:tcPr>
            <w:tcW w:w="3461" w:type="dxa"/>
            <w:vMerge/>
            <w:vAlign w:val="center"/>
          </w:tcPr>
          <w:p w:rsidR="00A83B33" w:rsidRDefault="00A83B33">
            <w:pPr>
              <w:widowControl w:val="0"/>
              <w:pBdr>
                <w:top w:val="nil"/>
                <w:left w:val="nil"/>
                <w:bottom w:val="nil"/>
                <w:right w:val="nil"/>
                <w:between w:val="nil"/>
              </w:pBdr>
              <w:spacing w:line="276" w:lineRule="auto"/>
              <w:rPr>
                <w:sz w:val="24"/>
                <w:szCs w:val="24"/>
              </w:rPr>
            </w:pPr>
          </w:p>
        </w:tc>
        <w:tc>
          <w:tcPr>
            <w:tcW w:w="5482" w:type="dxa"/>
            <w:vAlign w:val="center"/>
          </w:tcPr>
          <w:p w:rsidR="00A83B33" w:rsidRDefault="00FC0D84">
            <w:pPr>
              <w:rPr>
                <w:sz w:val="24"/>
                <w:szCs w:val="24"/>
              </w:rPr>
            </w:pPr>
            <w:r>
              <w:rPr>
                <w:sz w:val="24"/>
                <w:szCs w:val="24"/>
              </w:rPr>
              <w:t>Korean</w:t>
            </w:r>
          </w:p>
        </w:tc>
      </w:tr>
      <w:tr w:rsidR="00A83B33">
        <w:trPr>
          <w:trHeight w:val="399"/>
        </w:trPr>
        <w:tc>
          <w:tcPr>
            <w:tcW w:w="3461" w:type="dxa"/>
            <w:vMerge w:val="restart"/>
            <w:shd w:val="clear" w:color="auto" w:fill="DBE5F1"/>
            <w:vAlign w:val="center"/>
          </w:tcPr>
          <w:p w:rsidR="00A83B33" w:rsidRDefault="00FC0D84">
            <w:pPr>
              <w:rPr>
                <w:sz w:val="24"/>
                <w:szCs w:val="24"/>
              </w:rPr>
            </w:pPr>
            <w:proofErr w:type="spellStart"/>
            <w:r>
              <w:rPr>
                <w:sz w:val="24"/>
                <w:szCs w:val="24"/>
              </w:rPr>
              <w:t>Ivanova</w:t>
            </w:r>
            <w:proofErr w:type="spellEnd"/>
            <w:r>
              <w:rPr>
                <w:sz w:val="24"/>
                <w:szCs w:val="24"/>
              </w:rPr>
              <w:t xml:space="preserve"> State University</w:t>
            </w:r>
          </w:p>
        </w:tc>
        <w:tc>
          <w:tcPr>
            <w:tcW w:w="5482" w:type="dxa"/>
            <w:shd w:val="clear" w:color="auto" w:fill="DBE5F1"/>
            <w:vAlign w:val="center"/>
          </w:tcPr>
          <w:p w:rsidR="00A83B33" w:rsidRDefault="00FC0D84">
            <w:pPr>
              <w:rPr>
                <w:sz w:val="24"/>
                <w:szCs w:val="24"/>
              </w:rPr>
            </w:pPr>
            <w:r>
              <w:rPr>
                <w:sz w:val="24"/>
                <w:szCs w:val="24"/>
              </w:rPr>
              <w:t>Russian</w:t>
            </w:r>
          </w:p>
        </w:tc>
      </w:tr>
      <w:tr w:rsidR="00A83B33">
        <w:trPr>
          <w:trHeight w:val="399"/>
        </w:trPr>
        <w:tc>
          <w:tcPr>
            <w:tcW w:w="3461" w:type="dxa"/>
            <w:vMerge/>
            <w:shd w:val="clear" w:color="auto" w:fill="DBE5F1"/>
            <w:vAlign w:val="center"/>
          </w:tcPr>
          <w:p w:rsidR="00A83B33" w:rsidRDefault="00A83B33">
            <w:pPr>
              <w:widowControl w:val="0"/>
              <w:pBdr>
                <w:top w:val="nil"/>
                <w:left w:val="nil"/>
                <w:bottom w:val="nil"/>
                <w:right w:val="nil"/>
                <w:between w:val="nil"/>
              </w:pBdr>
              <w:spacing w:line="276" w:lineRule="auto"/>
              <w:rPr>
                <w:sz w:val="24"/>
                <w:szCs w:val="24"/>
              </w:rPr>
            </w:pPr>
          </w:p>
        </w:tc>
        <w:tc>
          <w:tcPr>
            <w:tcW w:w="5482" w:type="dxa"/>
            <w:shd w:val="clear" w:color="auto" w:fill="DBE5F1"/>
            <w:vAlign w:val="center"/>
          </w:tcPr>
          <w:p w:rsidR="00A83B33" w:rsidRDefault="00FC0D84">
            <w:pPr>
              <w:rPr>
                <w:sz w:val="24"/>
                <w:szCs w:val="24"/>
              </w:rPr>
            </w:pPr>
            <w:r>
              <w:rPr>
                <w:sz w:val="24"/>
                <w:szCs w:val="24"/>
              </w:rPr>
              <w:t>English</w:t>
            </w:r>
          </w:p>
        </w:tc>
      </w:tr>
      <w:tr w:rsidR="00A83B33">
        <w:trPr>
          <w:trHeight w:val="310"/>
        </w:trPr>
        <w:tc>
          <w:tcPr>
            <w:tcW w:w="3461" w:type="dxa"/>
            <w:vMerge w:val="restart"/>
            <w:vAlign w:val="center"/>
          </w:tcPr>
          <w:p w:rsidR="00A83B33" w:rsidRDefault="00FC0D84">
            <w:pPr>
              <w:rPr>
                <w:sz w:val="24"/>
                <w:szCs w:val="24"/>
              </w:rPr>
            </w:pPr>
            <w:r>
              <w:rPr>
                <w:sz w:val="24"/>
                <w:szCs w:val="24"/>
              </w:rPr>
              <w:t>Moscow State Linguistic University</w:t>
            </w:r>
          </w:p>
        </w:tc>
        <w:tc>
          <w:tcPr>
            <w:tcW w:w="5482" w:type="dxa"/>
            <w:vAlign w:val="center"/>
          </w:tcPr>
          <w:p w:rsidR="00A83B33" w:rsidRDefault="00FC0D84">
            <w:pPr>
              <w:rPr>
                <w:sz w:val="24"/>
                <w:szCs w:val="24"/>
              </w:rPr>
            </w:pPr>
            <w:r>
              <w:rPr>
                <w:sz w:val="24"/>
                <w:szCs w:val="24"/>
              </w:rPr>
              <w:t>Russian</w:t>
            </w:r>
          </w:p>
        </w:tc>
      </w:tr>
      <w:tr w:rsidR="00A83B33">
        <w:trPr>
          <w:trHeight w:val="405"/>
        </w:trPr>
        <w:tc>
          <w:tcPr>
            <w:tcW w:w="3461" w:type="dxa"/>
            <w:vMerge/>
            <w:vAlign w:val="center"/>
          </w:tcPr>
          <w:p w:rsidR="00A83B33" w:rsidRDefault="00A83B33">
            <w:pPr>
              <w:widowControl w:val="0"/>
              <w:pBdr>
                <w:top w:val="nil"/>
                <w:left w:val="nil"/>
                <w:bottom w:val="nil"/>
                <w:right w:val="nil"/>
                <w:between w:val="nil"/>
              </w:pBdr>
              <w:spacing w:line="276" w:lineRule="auto"/>
              <w:rPr>
                <w:sz w:val="24"/>
                <w:szCs w:val="24"/>
              </w:rPr>
            </w:pPr>
          </w:p>
        </w:tc>
        <w:tc>
          <w:tcPr>
            <w:tcW w:w="5482" w:type="dxa"/>
            <w:vAlign w:val="center"/>
          </w:tcPr>
          <w:p w:rsidR="00A83B33" w:rsidRDefault="00FC0D84">
            <w:pPr>
              <w:jc w:val="both"/>
              <w:rPr>
                <w:sz w:val="24"/>
                <w:szCs w:val="24"/>
              </w:rPr>
            </w:pPr>
            <w:r>
              <w:rPr>
                <w:sz w:val="24"/>
                <w:szCs w:val="24"/>
              </w:rPr>
              <w:t>English (Only for a limited number of lessons)</w:t>
            </w:r>
          </w:p>
        </w:tc>
      </w:tr>
    </w:tbl>
    <w:p w:rsidR="00A83B33" w:rsidRDefault="00A83B33">
      <w:pPr>
        <w:jc w:val="both"/>
        <w:rPr>
          <w:sz w:val="24"/>
          <w:szCs w:val="24"/>
        </w:rPr>
      </w:pPr>
    </w:p>
    <w:p w:rsidR="003756A3" w:rsidRDefault="003756A3">
      <w:pPr>
        <w:jc w:val="both"/>
        <w:rPr>
          <w:sz w:val="24"/>
          <w:szCs w:val="24"/>
        </w:rPr>
      </w:pPr>
    </w:p>
    <w:p w:rsidR="003756A3" w:rsidRDefault="003756A3">
      <w:pPr>
        <w:jc w:val="both"/>
        <w:rPr>
          <w:sz w:val="24"/>
          <w:szCs w:val="24"/>
        </w:rPr>
      </w:pPr>
    </w:p>
    <w:p w:rsidR="003756A3" w:rsidRDefault="003756A3">
      <w:pPr>
        <w:jc w:val="both"/>
        <w:rPr>
          <w:sz w:val="24"/>
          <w:szCs w:val="24"/>
        </w:rPr>
      </w:pPr>
    </w:p>
    <w:p w:rsidR="00A83B33" w:rsidRDefault="00FC0D84">
      <w:pPr>
        <w:jc w:val="both"/>
        <w:rPr>
          <w:sz w:val="24"/>
          <w:szCs w:val="24"/>
        </w:rPr>
      </w:pPr>
      <w:r>
        <w:rPr>
          <w:sz w:val="24"/>
          <w:szCs w:val="24"/>
        </w:rPr>
        <w:t xml:space="preserve">The language of instruction of the partner universities </w:t>
      </w:r>
      <w:proofErr w:type="gramStart"/>
      <w:r>
        <w:rPr>
          <w:sz w:val="24"/>
          <w:szCs w:val="24"/>
        </w:rPr>
        <w:t>should also be researched</w:t>
      </w:r>
      <w:proofErr w:type="gramEnd"/>
      <w:r>
        <w:rPr>
          <w:sz w:val="24"/>
          <w:szCs w:val="24"/>
        </w:rPr>
        <w:t xml:space="preserve"> on their websites, which courses are given in which language. It is not possible for students who prove only English Language proficiency to </w:t>
      </w:r>
      <w:proofErr w:type="gramStart"/>
      <w:r>
        <w:rPr>
          <w:sz w:val="24"/>
          <w:szCs w:val="24"/>
        </w:rPr>
        <w:t>be sent</w:t>
      </w:r>
      <w:proofErr w:type="gramEnd"/>
      <w:r>
        <w:rPr>
          <w:sz w:val="24"/>
          <w:szCs w:val="24"/>
        </w:rPr>
        <w:t xml:space="preserve"> to study Korean or Russian, even if they are placed.</w:t>
      </w:r>
    </w:p>
    <w:p w:rsidR="00A83B33" w:rsidRDefault="00A83B33">
      <w:pPr>
        <w:jc w:val="both"/>
        <w:rPr>
          <w:sz w:val="24"/>
          <w:szCs w:val="24"/>
        </w:rPr>
      </w:pPr>
    </w:p>
    <w:p w:rsidR="00A83B33" w:rsidRDefault="00FC0D84">
      <w:pPr>
        <w:jc w:val="both"/>
        <w:rPr>
          <w:sz w:val="24"/>
          <w:szCs w:val="24"/>
          <w:u w:val="single"/>
        </w:rPr>
      </w:pPr>
      <w:bookmarkStart w:id="1" w:name="_heading=h.gjdgxs" w:colFirst="0" w:colLast="0"/>
      <w:bookmarkEnd w:id="1"/>
      <w:r>
        <w:rPr>
          <w:b/>
          <w:color w:val="17365D"/>
          <w:sz w:val="24"/>
          <w:szCs w:val="24"/>
        </w:rPr>
        <w:t>Yeditepe University Foreign Language Exams:</w:t>
      </w:r>
    </w:p>
    <w:p w:rsidR="00A83B33" w:rsidRDefault="00A83B33">
      <w:pPr>
        <w:jc w:val="both"/>
        <w:rPr>
          <w:sz w:val="24"/>
          <w:szCs w:val="24"/>
        </w:rPr>
      </w:pPr>
    </w:p>
    <w:tbl>
      <w:tblPr>
        <w:tblStyle w:val="a0"/>
        <w:tblW w:w="6960" w:type="dxa"/>
        <w:tblBorders>
          <w:top w:val="nil"/>
          <w:left w:val="nil"/>
          <w:bottom w:val="nil"/>
          <w:right w:val="nil"/>
          <w:insideH w:val="nil"/>
          <w:insideV w:val="nil"/>
        </w:tblBorders>
        <w:tblLayout w:type="fixed"/>
        <w:tblLook w:val="0600" w:firstRow="0" w:lastRow="0" w:firstColumn="0" w:lastColumn="0" w:noHBand="1" w:noVBand="1"/>
      </w:tblPr>
      <w:tblGrid>
        <w:gridCol w:w="1980"/>
        <w:gridCol w:w="3360"/>
        <w:gridCol w:w="1620"/>
      </w:tblGrid>
      <w:tr w:rsidR="00A83B33">
        <w:trPr>
          <w:trHeight w:val="362"/>
        </w:trPr>
        <w:tc>
          <w:tcPr>
            <w:tcW w:w="1980" w:type="dxa"/>
            <w:tcBorders>
              <w:top w:val="single" w:sz="7" w:space="0" w:color="000000"/>
              <w:left w:val="single" w:sz="7" w:space="0" w:color="000000"/>
              <w:bottom w:val="single" w:sz="7" w:space="0" w:color="000000"/>
              <w:right w:val="single" w:sz="7" w:space="0" w:color="000000"/>
            </w:tcBorders>
            <w:shd w:val="clear" w:color="auto" w:fill="95B3D7"/>
            <w:tcMar>
              <w:top w:w="0" w:type="dxa"/>
              <w:left w:w="40" w:type="dxa"/>
              <w:bottom w:w="0" w:type="dxa"/>
              <w:right w:w="40" w:type="dxa"/>
            </w:tcMar>
            <w:vAlign w:val="center"/>
          </w:tcPr>
          <w:p w:rsidR="00A83B33" w:rsidRDefault="00FC0D84">
            <w:pPr>
              <w:widowControl w:val="0"/>
              <w:jc w:val="both"/>
              <w:rPr>
                <w:b/>
                <w:color w:val="FFFFFF"/>
                <w:sz w:val="24"/>
                <w:szCs w:val="24"/>
              </w:rPr>
            </w:pPr>
            <w:r>
              <w:rPr>
                <w:b/>
                <w:color w:val="FFFFFF"/>
                <w:sz w:val="24"/>
                <w:szCs w:val="24"/>
              </w:rPr>
              <w:t>Language</w:t>
            </w:r>
          </w:p>
        </w:tc>
        <w:tc>
          <w:tcPr>
            <w:tcW w:w="3360" w:type="dxa"/>
            <w:tcBorders>
              <w:top w:val="single" w:sz="7" w:space="0" w:color="000000"/>
              <w:left w:val="single" w:sz="7" w:space="0" w:color="CCCCCC"/>
              <w:bottom w:val="single" w:sz="7" w:space="0" w:color="000000"/>
              <w:right w:val="single" w:sz="7" w:space="0" w:color="000000"/>
            </w:tcBorders>
            <w:shd w:val="clear" w:color="auto" w:fill="95B3D7"/>
            <w:tcMar>
              <w:top w:w="0" w:type="dxa"/>
              <w:left w:w="40" w:type="dxa"/>
              <w:bottom w:w="0" w:type="dxa"/>
              <w:right w:w="40" w:type="dxa"/>
            </w:tcMar>
            <w:vAlign w:val="center"/>
          </w:tcPr>
          <w:p w:rsidR="00A83B33" w:rsidRDefault="00FC0D84">
            <w:pPr>
              <w:widowControl w:val="0"/>
              <w:jc w:val="both"/>
              <w:rPr>
                <w:b/>
                <w:color w:val="FFFFFF"/>
                <w:sz w:val="24"/>
                <w:szCs w:val="24"/>
              </w:rPr>
            </w:pPr>
            <w:r>
              <w:rPr>
                <w:b/>
                <w:color w:val="FFFFFF"/>
                <w:sz w:val="24"/>
                <w:szCs w:val="24"/>
              </w:rPr>
              <w:t>History</w:t>
            </w:r>
          </w:p>
        </w:tc>
        <w:tc>
          <w:tcPr>
            <w:tcW w:w="1620" w:type="dxa"/>
            <w:tcBorders>
              <w:top w:val="single" w:sz="7" w:space="0" w:color="000000"/>
              <w:left w:val="single" w:sz="7" w:space="0" w:color="CCCCCC"/>
              <w:bottom w:val="single" w:sz="7" w:space="0" w:color="000000"/>
              <w:right w:val="single" w:sz="7" w:space="0" w:color="000000"/>
            </w:tcBorders>
            <w:shd w:val="clear" w:color="auto" w:fill="95B3D7"/>
            <w:tcMar>
              <w:top w:w="0" w:type="dxa"/>
              <w:left w:w="40" w:type="dxa"/>
              <w:bottom w:w="0" w:type="dxa"/>
              <w:right w:w="40" w:type="dxa"/>
            </w:tcMar>
            <w:vAlign w:val="center"/>
          </w:tcPr>
          <w:p w:rsidR="00A83B33" w:rsidRDefault="00FC0D84">
            <w:pPr>
              <w:widowControl w:val="0"/>
              <w:jc w:val="both"/>
              <w:rPr>
                <w:b/>
                <w:color w:val="FFFFFF"/>
                <w:sz w:val="24"/>
                <w:szCs w:val="24"/>
              </w:rPr>
            </w:pPr>
            <w:r>
              <w:rPr>
                <w:b/>
                <w:color w:val="FFFFFF"/>
                <w:sz w:val="24"/>
                <w:szCs w:val="24"/>
              </w:rPr>
              <w:t>Hour</w:t>
            </w:r>
          </w:p>
        </w:tc>
      </w:tr>
      <w:tr w:rsidR="00A83B33">
        <w:trPr>
          <w:trHeight w:val="600"/>
        </w:trPr>
        <w:tc>
          <w:tcPr>
            <w:tcW w:w="198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center"/>
          </w:tcPr>
          <w:p w:rsidR="00A83B33" w:rsidRDefault="00FC0D84">
            <w:pPr>
              <w:widowControl w:val="0"/>
              <w:jc w:val="both"/>
              <w:rPr>
                <w:color w:val="FF0000"/>
                <w:sz w:val="24"/>
                <w:szCs w:val="24"/>
                <w:shd w:val="clear" w:color="auto" w:fill="F4CCCC"/>
              </w:rPr>
            </w:pPr>
            <w:r>
              <w:rPr>
                <w:color w:val="FF0000"/>
                <w:sz w:val="24"/>
                <w:szCs w:val="24"/>
                <w:shd w:val="clear" w:color="auto" w:fill="F4CCCC"/>
              </w:rPr>
              <w:t>English *</w:t>
            </w:r>
          </w:p>
        </w:tc>
        <w:tc>
          <w:tcPr>
            <w:tcW w:w="336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A83B33" w:rsidRDefault="00FC0D84">
            <w:pPr>
              <w:widowControl w:val="0"/>
              <w:jc w:val="both"/>
              <w:rPr>
                <w:sz w:val="24"/>
                <w:szCs w:val="24"/>
              </w:rPr>
            </w:pPr>
            <w:r>
              <w:rPr>
                <w:sz w:val="24"/>
                <w:szCs w:val="24"/>
              </w:rPr>
              <w:t>April 3, 2024</w:t>
            </w:r>
          </w:p>
        </w:tc>
        <w:tc>
          <w:tcPr>
            <w:tcW w:w="162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A83B33" w:rsidRDefault="00FC0D84">
            <w:pPr>
              <w:widowControl w:val="0"/>
              <w:jc w:val="both"/>
              <w:rPr>
                <w:sz w:val="24"/>
                <w:szCs w:val="24"/>
              </w:rPr>
            </w:pPr>
            <w:r>
              <w:rPr>
                <w:sz w:val="24"/>
                <w:szCs w:val="24"/>
              </w:rPr>
              <w:t>09:30 - 12:00</w:t>
            </w:r>
          </w:p>
        </w:tc>
      </w:tr>
      <w:tr w:rsidR="00A83B33">
        <w:trPr>
          <w:trHeight w:val="600"/>
        </w:trPr>
        <w:tc>
          <w:tcPr>
            <w:tcW w:w="198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center"/>
          </w:tcPr>
          <w:p w:rsidR="00A83B33" w:rsidRDefault="00FC0D84">
            <w:pPr>
              <w:widowControl w:val="0"/>
              <w:jc w:val="both"/>
              <w:rPr>
                <w:sz w:val="24"/>
                <w:szCs w:val="24"/>
              </w:rPr>
            </w:pPr>
            <w:r>
              <w:rPr>
                <w:sz w:val="24"/>
                <w:szCs w:val="24"/>
              </w:rPr>
              <w:t>Russian</w:t>
            </w:r>
          </w:p>
        </w:tc>
        <w:tc>
          <w:tcPr>
            <w:tcW w:w="336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A83B33" w:rsidRDefault="00FC0D84">
            <w:pPr>
              <w:widowControl w:val="0"/>
              <w:jc w:val="both"/>
              <w:rPr>
                <w:sz w:val="24"/>
                <w:szCs w:val="24"/>
              </w:rPr>
            </w:pPr>
            <w:r>
              <w:rPr>
                <w:sz w:val="24"/>
                <w:szCs w:val="24"/>
              </w:rPr>
              <w:t>April 2, 2024</w:t>
            </w:r>
          </w:p>
        </w:tc>
        <w:tc>
          <w:tcPr>
            <w:tcW w:w="162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A83B33" w:rsidRDefault="00FC0D84">
            <w:pPr>
              <w:widowControl w:val="0"/>
              <w:jc w:val="both"/>
              <w:rPr>
                <w:sz w:val="24"/>
                <w:szCs w:val="24"/>
              </w:rPr>
            </w:pPr>
            <w:r>
              <w:rPr>
                <w:sz w:val="24"/>
                <w:szCs w:val="24"/>
              </w:rPr>
              <w:t>10:00 - 13:00</w:t>
            </w:r>
          </w:p>
        </w:tc>
      </w:tr>
    </w:tbl>
    <w:p w:rsidR="00A83B33" w:rsidRDefault="00FC0D84">
      <w:pPr>
        <w:pBdr>
          <w:bottom w:val="none" w:sz="0" w:space="11" w:color="000000"/>
        </w:pBdr>
        <w:shd w:val="clear" w:color="auto" w:fill="FFFFFF"/>
        <w:jc w:val="both"/>
        <w:rPr>
          <w:color w:val="FF0000"/>
          <w:sz w:val="24"/>
          <w:szCs w:val="24"/>
          <w:shd w:val="clear" w:color="auto" w:fill="F4CCCC"/>
        </w:rPr>
      </w:pPr>
      <w:r>
        <w:rPr>
          <w:color w:val="FF0000"/>
          <w:sz w:val="24"/>
          <w:szCs w:val="24"/>
          <w:shd w:val="clear" w:color="auto" w:fill="F4CCCC"/>
        </w:rPr>
        <w:t xml:space="preserve">* The grades of the students who took the Erasmus English Proficiency Exam held on Wednesday, 24.01.2024 </w:t>
      </w:r>
      <w:proofErr w:type="gramStart"/>
      <w:r>
        <w:rPr>
          <w:color w:val="FF0000"/>
          <w:sz w:val="24"/>
          <w:szCs w:val="24"/>
          <w:shd w:val="clear" w:color="auto" w:fill="F4CCCC"/>
        </w:rPr>
        <w:t>are taken</w:t>
      </w:r>
      <w:proofErr w:type="gramEnd"/>
      <w:r>
        <w:rPr>
          <w:color w:val="FF0000"/>
          <w:sz w:val="24"/>
          <w:szCs w:val="24"/>
          <w:shd w:val="clear" w:color="auto" w:fill="F4CCCC"/>
        </w:rPr>
        <w:t xml:space="preserve"> into account. It is not possible to take the exam again.</w:t>
      </w:r>
    </w:p>
    <w:p w:rsidR="00A83B33" w:rsidRDefault="00A83B33">
      <w:pPr>
        <w:pBdr>
          <w:bottom w:val="none" w:sz="0" w:space="11" w:color="000000"/>
        </w:pBdr>
        <w:shd w:val="clear" w:color="auto" w:fill="FFFFFF"/>
        <w:jc w:val="both"/>
        <w:rPr>
          <w:sz w:val="24"/>
          <w:szCs w:val="24"/>
        </w:rPr>
      </w:pPr>
    </w:p>
    <w:p w:rsidR="00A83B33" w:rsidRDefault="00FC0D84">
      <w:pPr>
        <w:pBdr>
          <w:bottom w:val="none" w:sz="0" w:space="11" w:color="000000"/>
        </w:pBdr>
        <w:shd w:val="clear" w:color="auto" w:fill="FFFFFF"/>
        <w:jc w:val="both"/>
        <w:rPr>
          <w:sz w:val="24"/>
          <w:szCs w:val="24"/>
        </w:rPr>
      </w:pPr>
      <w:r>
        <w:rPr>
          <w:sz w:val="24"/>
          <w:szCs w:val="24"/>
        </w:rPr>
        <w:t xml:space="preserve">Exam location information </w:t>
      </w:r>
      <w:proofErr w:type="gramStart"/>
      <w:r>
        <w:rPr>
          <w:sz w:val="24"/>
          <w:szCs w:val="24"/>
        </w:rPr>
        <w:t>will be sent</w:t>
      </w:r>
      <w:proofErr w:type="gramEnd"/>
      <w:r>
        <w:rPr>
          <w:sz w:val="24"/>
          <w:szCs w:val="24"/>
        </w:rPr>
        <w:t xml:space="preserve"> to the std.yeditepe.edu.tr e-mail addresses of students who successfully apply.</w:t>
      </w:r>
    </w:p>
    <w:p w:rsidR="00A83B33" w:rsidRDefault="00FC0D84">
      <w:pPr>
        <w:rPr>
          <w:sz w:val="24"/>
          <w:szCs w:val="24"/>
        </w:rPr>
      </w:pPr>
      <w:r>
        <w:rPr>
          <w:sz w:val="24"/>
          <w:szCs w:val="24"/>
        </w:rPr>
        <w:t>From Yeditepe University Erasmus Foreign Language Exams</w:t>
      </w:r>
    </w:p>
    <w:p w:rsidR="00A83B33" w:rsidRDefault="00FC0D84">
      <w:pPr>
        <w:numPr>
          <w:ilvl w:val="0"/>
          <w:numId w:val="13"/>
        </w:numPr>
        <w:ind w:left="720"/>
        <w:rPr>
          <w:sz w:val="24"/>
          <w:szCs w:val="24"/>
        </w:rPr>
      </w:pPr>
      <w:r>
        <w:rPr>
          <w:sz w:val="24"/>
          <w:szCs w:val="24"/>
        </w:rPr>
        <w:t>Minimum successful foreign language score: 60 / 100</w:t>
      </w:r>
    </w:p>
    <w:p w:rsidR="00A83B33" w:rsidRDefault="00FC0D84">
      <w:pPr>
        <w:numPr>
          <w:ilvl w:val="0"/>
          <w:numId w:val="13"/>
        </w:numPr>
        <w:ind w:left="720"/>
        <w:rPr>
          <w:sz w:val="24"/>
          <w:szCs w:val="24"/>
        </w:rPr>
      </w:pPr>
      <w:r>
        <w:rPr>
          <w:sz w:val="24"/>
          <w:szCs w:val="24"/>
        </w:rPr>
        <w:t>It is valid for two years.</w:t>
      </w:r>
    </w:p>
    <w:p w:rsidR="00A83B33" w:rsidRDefault="00A83B33">
      <w:pPr>
        <w:ind w:left="1440"/>
        <w:rPr>
          <w:sz w:val="24"/>
          <w:szCs w:val="24"/>
        </w:rPr>
      </w:pPr>
    </w:p>
    <w:p w:rsidR="00A83B33" w:rsidRDefault="00FC0D84">
      <w:pPr>
        <w:rPr>
          <w:sz w:val="24"/>
          <w:szCs w:val="24"/>
        </w:rPr>
      </w:pPr>
      <w:r>
        <w:rPr>
          <w:sz w:val="24"/>
          <w:szCs w:val="24"/>
        </w:rPr>
        <w:t xml:space="preserve">Other documents accepted for </w:t>
      </w:r>
      <w:r>
        <w:rPr>
          <w:b/>
          <w:sz w:val="24"/>
          <w:szCs w:val="24"/>
        </w:rPr>
        <w:t>English Proficiency</w:t>
      </w:r>
      <w:proofErr w:type="gramStart"/>
      <w:r>
        <w:rPr>
          <w:b/>
          <w:sz w:val="24"/>
          <w:szCs w:val="24"/>
        </w:rPr>
        <w:t>;</w:t>
      </w:r>
      <w:proofErr w:type="gramEnd"/>
    </w:p>
    <w:p w:rsidR="00A83B33" w:rsidRDefault="00FC0D84">
      <w:pPr>
        <w:numPr>
          <w:ilvl w:val="0"/>
          <w:numId w:val="9"/>
        </w:numPr>
        <w:ind w:left="720"/>
        <w:rPr>
          <w:sz w:val="24"/>
          <w:szCs w:val="24"/>
        </w:rPr>
      </w:pPr>
      <w:r>
        <w:rPr>
          <w:sz w:val="24"/>
          <w:szCs w:val="24"/>
        </w:rPr>
        <w:t>Minimum successful English YDS / (e)YDS / YÖKDİL grade: 66 / 100</w:t>
      </w:r>
    </w:p>
    <w:p w:rsidR="00A83B33" w:rsidRDefault="00FC0D84">
      <w:pPr>
        <w:numPr>
          <w:ilvl w:val="0"/>
          <w:numId w:val="9"/>
        </w:numPr>
        <w:ind w:left="720"/>
        <w:rPr>
          <w:sz w:val="24"/>
          <w:szCs w:val="24"/>
        </w:rPr>
      </w:pPr>
      <w:r>
        <w:rPr>
          <w:sz w:val="24"/>
          <w:szCs w:val="24"/>
        </w:rPr>
        <w:t>Minimum successful English TOEFL IBT score: 79</w:t>
      </w:r>
    </w:p>
    <w:p w:rsidR="00A83B33" w:rsidRDefault="00FC0D84">
      <w:pPr>
        <w:numPr>
          <w:ilvl w:val="0"/>
          <w:numId w:val="9"/>
        </w:numPr>
        <w:ind w:left="720"/>
        <w:rPr>
          <w:sz w:val="24"/>
          <w:szCs w:val="24"/>
        </w:rPr>
      </w:pPr>
      <w:r>
        <w:rPr>
          <w:sz w:val="24"/>
          <w:szCs w:val="24"/>
        </w:rPr>
        <w:t>Minimum successful English TOEFL PBT score: 550</w:t>
      </w:r>
    </w:p>
    <w:p w:rsidR="00A83B33" w:rsidRDefault="00FC0D84">
      <w:pPr>
        <w:numPr>
          <w:ilvl w:val="2"/>
          <w:numId w:val="9"/>
        </w:numPr>
        <w:ind w:left="1620"/>
        <w:rPr>
          <w:sz w:val="24"/>
          <w:szCs w:val="24"/>
        </w:rPr>
      </w:pPr>
      <w:r>
        <w:rPr>
          <w:sz w:val="24"/>
          <w:szCs w:val="24"/>
        </w:rPr>
        <w:t xml:space="preserve">TOEFL IBT and PBT exams </w:t>
      </w:r>
      <w:proofErr w:type="gramStart"/>
      <w:r>
        <w:rPr>
          <w:sz w:val="24"/>
          <w:szCs w:val="24"/>
        </w:rPr>
        <w:t>are only accepted</w:t>
      </w:r>
      <w:proofErr w:type="gramEnd"/>
      <w:r>
        <w:rPr>
          <w:sz w:val="24"/>
          <w:szCs w:val="24"/>
        </w:rPr>
        <w:t xml:space="preserve"> at Yeditepe University, Istanbul Technical University and Middle East Technical University exam centers.</w:t>
      </w:r>
    </w:p>
    <w:p w:rsidR="00A83B33" w:rsidRDefault="00FC0D84">
      <w:pPr>
        <w:numPr>
          <w:ilvl w:val="2"/>
          <w:numId w:val="9"/>
        </w:numPr>
        <w:ind w:left="1620"/>
        <w:rPr>
          <w:sz w:val="24"/>
          <w:szCs w:val="24"/>
        </w:rPr>
      </w:pPr>
      <w:r>
        <w:rPr>
          <w:sz w:val="24"/>
          <w:szCs w:val="24"/>
        </w:rPr>
        <w:t xml:space="preserve">TOEFL IBT Home Edition is </w:t>
      </w:r>
      <w:r>
        <w:rPr>
          <w:b/>
          <w:sz w:val="24"/>
          <w:szCs w:val="24"/>
        </w:rPr>
        <w:t xml:space="preserve">not </w:t>
      </w:r>
      <w:proofErr w:type="gramStart"/>
      <w:r>
        <w:rPr>
          <w:b/>
          <w:sz w:val="24"/>
          <w:szCs w:val="24"/>
        </w:rPr>
        <w:t xml:space="preserve">valid </w:t>
      </w:r>
      <w:r>
        <w:rPr>
          <w:sz w:val="24"/>
          <w:szCs w:val="24"/>
        </w:rPr>
        <w:t>.</w:t>
      </w:r>
      <w:proofErr w:type="gramEnd"/>
    </w:p>
    <w:p w:rsidR="00A83B33" w:rsidRDefault="00FC0D84">
      <w:pPr>
        <w:numPr>
          <w:ilvl w:val="0"/>
          <w:numId w:val="7"/>
        </w:numPr>
        <w:rPr>
          <w:sz w:val="24"/>
          <w:szCs w:val="24"/>
        </w:rPr>
      </w:pPr>
      <w:r>
        <w:rPr>
          <w:sz w:val="24"/>
          <w:szCs w:val="24"/>
        </w:rPr>
        <w:t xml:space="preserve">Click for English Exam Grade Conversion Tables: </w:t>
      </w:r>
      <w:hyperlink r:id="rId11">
        <w:r>
          <w:rPr>
            <w:color w:val="1155CC"/>
            <w:sz w:val="24"/>
            <w:szCs w:val="24"/>
            <w:u w:val="single"/>
          </w:rPr>
          <w:t>https://international.yeditepe.edu.tr/sites/international.yeditepe.edu.tr/files/2023-11/yabanci_dil_esdegerlik_tablosu.pdf</w:t>
        </w:r>
      </w:hyperlink>
    </w:p>
    <w:p w:rsidR="00A83B33" w:rsidRDefault="00A83B33">
      <w:pPr>
        <w:rPr>
          <w:sz w:val="24"/>
          <w:szCs w:val="24"/>
        </w:rPr>
      </w:pPr>
    </w:p>
    <w:p w:rsidR="00A83B33" w:rsidRDefault="00FC0D84">
      <w:pPr>
        <w:rPr>
          <w:sz w:val="24"/>
          <w:szCs w:val="24"/>
        </w:rPr>
      </w:pPr>
      <w:r>
        <w:rPr>
          <w:sz w:val="24"/>
          <w:szCs w:val="24"/>
        </w:rPr>
        <w:t xml:space="preserve">Other documents accepted for </w:t>
      </w:r>
      <w:r>
        <w:rPr>
          <w:b/>
          <w:sz w:val="24"/>
          <w:szCs w:val="24"/>
        </w:rPr>
        <w:t>Russian Proficiency</w:t>
      </w:r>
      <w:proofErr w:type="gramStart"/>
      <w:r>
        <w:rPr>
          <w:b/>
          <w:sz w:val="24"/>
          <w:szCs w:val="24"/>
        </w:rPr>
        <w:t>;</w:t>
      </w:r>
      <w:proofErr w:type="gramEnd"/>
    </w:p>
    <w:p w:rsidR="00A83B33" w:rsidRDefault="00FC0D84">
      <w:pPr>
        <w:numPr>
          <w:ilvl w:val="0"/>
          <w:numId w:val="8"/>
        </w:numPr>
        <w:rPr>
          <w:sz w:val="24"/>
          <w:szCs w:val="24"/>
        </w:rPr>
      </w:pPr>
      <w:r>
        <w:rPr>
          <w:sz w:val="24"/>
          <w:szCs w:val="24"/>
        </w:rPr>
        <w:t>TORFL, YDS, YÖKDİL certificates</w:t>
      </w:r>
    </w:p>
    <w:p w:rsidR="00A83B33" w:rsidRDefault="00FC0D84">
      <w:pPr>
        <w:numPr>
          <w:ilvl w:val="0"/>
          <w:numId w:val="8"/>
        </w:numPr>
        <w:rPr>
          <w:sz w:val="24"/>
          <w:szCs w:val="24"/>
        </w:rPr>
      </w:pPr>
      <w:r>
        <w:rPr>
          <w:sz w:val="24"/>
          <w:szCs w:val="24"/>
        </w:rPr>
        <w:t>Minimum Achievement is also 60 for certificates.</w:t>
      </w:r>
    </w:p>
    <w:p w:rsidR="00A83B33" w:rsidRDefault="00FC0D84">
      <w:pPr>
        <w:numPr>
          <w:ilvl w:val="0"/>
          <w:numId w:val="8"/>
        </w:numPr>
        <w:rPr>
          <w:sz w:val="24"/>
          <w:szCs w:val="24"/>
        </w:rPr>
      </w:pPr>
      <w:r>
        <w:rPr>
          <w:sz w:val="24"/>
          <w:szCs w:val="24"/>
        </w:rPr>
        <w:t>Note Conversion table is given below;</w:t>
      </w:r>
    </w:p>
    <w:p w:rsidR="00A83B33" w:rsidRDefault="00A83B33">
      <w:pPr>
        <w:rPr>
          <w:sz w:val="24"/>
          <w:szCs w:val="24"/>
        </w:rPr>
      </w:pPr>
    </w:p>
    <w:p w:rsidR="00A83B33" w:rsidRDefault="00A83B33">
      <w:pPr>
        <w:rPr>
          <w:sz w:val="24"/>
          <w:szCs w:val="24"/>
        </w:rPr>
      </w:pPr>
    </w:p>
    <w:p w:rsidR="00A83B33" w:rsidRDefault="00A83B33">
      <w:pPr>
        <w:rPr>
          <w:sz w:val="24"/>
          <w:szCs w:val="24"/>
        </w:rPr>
      </w:pPr>
    </w:p>
    <w:p w:rsidR="00A83B33" w:rsidRDefault="00A83B33">
      <w:pPr>
        <w:rPr>
          <w:sz w:val="24"/>
          <w:szCs w:val="24"/>
        </w:rPr>
      </w:pPr>
    </w:p>
    <w:tbl>
      <w:tblPr>
        <w:tblStyle w:val="a1"/>
        <w:tblW w:w="6300" w:type="dxa"/>
        <w:tblBorders>
          <w:top w:val="nil"/>
          <w:left w:val="nil"/>
          <w:bottom w:val="nil"/>
          <w:right w:val="nil"/>
          <w:insideH w:val="nil"/>
          <w:insideV w:val="nil"/>
        </w:tblBorders>
        <w:tblLayout w:type="fixed"/>
        <w:tblLook w:val="0600" w:firstRow="0" w:lastRow="0" w:firstColumn="0" w:lastColumn="0" w:noHBand="1" w:noVBand="1"/>
      </w:tblPr>
      <w:tblGrid>
        <w:gridCol w:w="2100"/>
        <w:gridCol w:w="2100"/>
        <w:gridCol w:w="2100"/>
      </w:tblGrid>
      <w:tr w:rsidR="00A83B33">
        <w:trPr>
          <w:trHeight w:val="870"/>
        </w:trPr>
        <w:tc>
          <w:tcPr>
            <w:tcW w:w="2100" w:type="dxa"/>
            <w:tcBorders>
              <w:top w:val="single" w:sz="5" w:space="0" w:color="000000"/>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rsidR="00A83B33" w:rsidRDefault="00FC0D84">
            <w:pPr>
              <w:rPr>
                <w:b/>
                <w:sz w:val="24"/>
                <w:szCs w:val="24"/>
              </w:rPr>
            </w:pPr>
            <w:r>
              <w:rPr>
                <w:b/>
                <w:sz w:val="24"/>
                <w:szCs w:val="24"/>
              </w:rPr>
              <w:t>TORFL</w:t>
            </w:r>
          </w:p>
        </w:tc>
        <w:tc>
          <w:tcPr>
            <w:tcW w:w="2100" w:type="dxa"/>
            <w:tcBorders>
              <w:top w:val="single" w:sz="5" w:space="0" w:color="000000"/>
              <w:left w:val="nil"/>
              <w:bottom w:val="single" w:sz="5" w:space="0" w:color="000000"/>
              <w:right w:val="single" w:sz="5" w:space="0" w:color="000000"/>
            </w:tcBorders>
            <w:shd w:val="clear" w:color="auto" w:fill="CFE2F3"/>
            <w:tcMar>
              <w:top w:w="0" w:type="dxa"/>
              <w:left w:w="100" w:type="dxa"/>
              <w:bottom w:w="0" w:type="dxa"/>
              <w:right w:w="100" w:type="dxa"/>
            </w:tcMar>
          </w:tcPr>
          <w:p w:rsidR="00A83B33" w:rsidRDefault="00FC0D84">
            <w:pPr>
              <w:rPr>
                <w:b/>
                <w:sz w:val="24"/>
                <w:szCs w:val="24"/>
              </w:rPr>
            </w:pPr>
            <w:r>
              <w:rPr>
                <w:b/>
                <w:sz w:val="24"/>
                <w:szCs w:val="24"/>
              </w:rPr>
              <w:t>YDS</w:t>
            </w:r>
          </w:p>
          <w:p w:rsidR="00A83B33" w:rsidRDefault="00FC0D84">
            <w:pPr>
              <w:rPr>
                <w:b/>
                <w:sz w:val="24"/>
                <w:szCs w:val="24"/>
              </w:rPr>
            </w:pPr>
            <w:r>
              <w:rPr>
                <w:b/>
                <w:sz w:val="24"/>
                <w:szCs w:val="24"/>
              </w:rPr>
              <w:t>YÖKDİL</w:t>
            </w:r>
          </w:p>
          <w:p w:rsidR="00A83B33" w:rsidRDefault="00FC0D84">
            <w:pPr>
              <w:rPr>
                <w:b/>
                <w:sz w:val="24"/>
                <w:szCs w:val="24"/>
              </w:rPr>
            </w:pPr>
            <w:r>
              <w:rPr>
                <w:b/>
                <w:sz w:val="24"/>
                <w:szCs w:val="24"/>
              </w:rPr>
              <w:t>OSYM Equivalence</w:t>
            </w:r>
          </w:p>
        </w:tc>
        <w:tc>
          <w:tcPr>
            <w:tcW w:w="2100" w:type="dxa"/>
            <w:tcBorders>
              <w:top w:val="single" w:sz="5" w:space="0" w:color="000000"/>
              <w:left w:val="nil"/>
              <w:bottom w:val="single" w:sz="5" w:space="0" w:color="000000"/>
              <w:right w:val="single" w:sz="5" w:space="0" w:color="000000"/>
            </w:tcBorders>
            <w:shd w:val="clear" w:color="auto" w:fill="CFE2F3"/>
            <w:tcMar>
              <w:top w:w="0" w:type="dxa"/>
              <w:left w:w="100" w:type="dxa"/>
              <w:bottom w:w="0" w:type="dxa"/>
              <w:right w:w="100" w:type="dxa"/>
            </w:tcMar>
          </w:tcPr>
          <w:p w:rsidR="00A83B33" w:rsidRDefault="00FC0D84">
            <w:pPr>
              <w:rPr>
                <w:b/>
                <w:sz w:val="24"/>
                <w:szCs w:val="24"/>
              </w:rPr>
            </w:pPr>
            <w:r>
              <w:rPr>
                <w:b/>
                <w:sz w:val="24"/>
                <w:szCs w:val="24"/>
              </w:rPr>
              <w:t>Yeditepe Erasmus Russian</w:t>
            </w:r>
          </w:p>
          <w:p w:rsidR="00A83B33" w:rsidRDefault="00FC0D84">
            <w:pPr>
              <w:rPr>
                <w:b/>
                <w:sz w:val="24"/>
                <w:szCs w:val="24"/>
              </w:rPr>
            </w:pPr>
            <w:r>
              <w:rPr>
                <w:b/>
                <w:sz w:val="24"/>
                <w:szCs w:val="24"/>
              </w:rPr>
              <w:t>Equivalence</w:t>
            </w:r>
          </w:p>
        </w:tc>
      </w:tr>
      <w:tr w:rsidR="00A83B33">
        <w:trPr>
          <w:trHeight w:val="300"/>
        </w:trPr>
        <w:tc>
          <w:tcPr>
            <w:tcW w:w="210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rsidR="00A83B33" w:rsidRDefault="00FC0D84">
            <w:pPr>
              <w:rPr>
                <w:sz w:val="24"/>
                <w:szCs w:val="24"/>
              </w:rPr>
            </w:pPr>
            <w:r>
              <w:rPr>
                <w:sz w:val="24"/>
                <w:szCs w:val="24"/>
              </w:rPr>
              <w:t>Level 4 (C 2)</w:t>
            </w:r>
          </w:p>
        </w:tc>
        <w:tc>
          <w:tcPr>
            <w:tcW w:w="2100"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rsidR="00A83B33" w:rsidRDefault="00FC0D84">
            <w:pPr>
              <w:rPr>
                <w:sz w:val="24"/>
                <w:szCs w:val="24"/>
              </w:rPr>
            </w:pPr>
            <w:r>
              <w:rPr>
                <w:sz w:val="24"/>
                <w:szCs w:val="24"/>
              </w:rPr>
              <w:t xml:space="preserve"> </w:t>
            </w:r>
          </w:p>
        </w:tc>
        <w:tc>
          <w:tcPr>
            <w:tcW w:w="2100"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rsidR="00A83B33" w:rsidRDefault="00FC0D84">
            <w:pPr>
              <w:rPr>
                <w:sz w:val="24"/>
                <w:szCs w:val="24"/>
              </w:rPr>
            </w:pPr>
            <w:r>
              <w:rPr>
                <w:sz w:val="24"/>
                <w:szCs w:val="24"/>
              </w:rPr>
              <w:t xml:space="preserve"> </w:t>
            </w:r>
          </w:p>
        </w:tc>
      </w:tr>
      <w:tr w:rsidR="00A83B33">
        <w:trPr>
          <w:trHeight w:val="300"/>
        </w:trPr>
        <w:tc>
          <w:tcPr>
            <w:tcW w:w="21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93-100</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one hundred</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one hundred</w:t>
            </w:r>
          </w:p>
        </w:tc>
      </w:tr>
      <w:tr w:rsidR="00A83B33">
        <w:trPr>
          <w:trHeight w:val="300"/>
        </w:trPr>
        <w:tc>
          <w:tcPr>
            <w:tcW w:w="21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84-92</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95</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95</w:t>
            </w:r>
          </w:p>
        </w:tc>
      </w:tr>
      <w:tr w:rsidR="00A83B33">
        <w:trPr>
          <w:trHeight w:val="300"/>
        </w:trPr>
        <w:tc>
          <w:tcPr>
            <w:tcW w:w="21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75-83</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90</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90</w:t>
            </w:r>
          </w:p>
        </w:tc>
      </w:tr>
      <w:tr w:rsidR="00A83B33">
        <w:trPr>
          <w:trHeight w:val="300"/>
        </w:trPr>
        <w:tc>
          <w:tcPr>
            <w:tcW w:w="21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66-74</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85</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85</w:t>
            </w:r>
          </w:p>
        </w:tc>
      </w:tr>
      <w:tr w:rsidR="00A83B33">
        <w:trPr>
          <w:trHeight w:val="300"/>
        </w:trPr>
        <w:tc>
          <w:tcPr>
            <w:tcW w:w="210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rsidR="00A83B33" w:rsidRDefault="00FC0D84">
            <w:pPr>
              <w:rPr>
                <w:sz w:val="24"/>
                <w:szCs w:val="24"/>
              </w:rPr>
            </w:pPr>
            <w:r>
              <w:rPr>
                <w:sz w:val="24"/>
                <w:szCs w:val="24"/>
              </w:rPr>
              <w:t>Level 3 (C 1)</w:t>
            </w:r>
          </w:p>
        </w:tc>
        <w:tc>
          <w:tcPr>
            <w:tcW w:w="2100"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rsidR="00A83B33" w:rsidRDefault="00FC0D84">
            <w:pPr>
              <w:rPr>
                <w:sz w:val="24"/>
                <w:szCs w:val="24"/>
              </w:rPr>
            </w:pPr>
            <w:r>
              <w:rPr>
                <w:sz w:val="24"/>
                <w:szCs w:val="24"/>
              </w:rPr>
              <w:t xml:space="preserve"> </w:t>
            </w:r>
          </w:p>
        </w:tc>
        <w:tc>
          <w:tcPr>
            <w:tcW w:w="2100"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rsidR="00A83B33" w:rsidRDefault="00FC0D84">
            <w:pPr>
              <w:rPr>
                <w:sz w:val="24"/>
                <w:szCs w:val="24"/>
              </w:rPr>
            </w:pPr>
            <w:r>
              <w:rPr>
                <w:sz w:val="24"/>
                <w:szCs w:val="24"/>
              </w:rPr>
              <w:t xml:space="preserve"> </w:t>
            </w:r>
          </w:p>
        </w:tc>
      </w:tr>
      <w:tr w:rsidR="00A83B33">
        <w:trPr>
          <w:trHeight w:val="300"/>
        </w:trPr>
        <w:tc>
          <w:tcPr>
            <w:tcW w:w="21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93-100</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80</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80</w:t>
            </w:r>
          </w:p>
        </w:tc>
      </w:tr>
      <w:tr w:rsidR="00A83B33">
        <w:trPr>
          <w:trHeight w:val="300"/>
        </w:trPr>
        <w:tc>
          <w:tcPr>
            <w:tcW w:w="21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84-92</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75</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75</w:t>
            </w:r>
          </w:p>
        </w:tc>
      </w:tr>
      <w:tr w:rsidR="00A83B33">
        <w:trPr>
          <w:trHeight w:val="300"/>
        </w:trPr>
        <w:tc>
          <w:tcPr>
            <w:tcW w:w="21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75-83</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70</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70</w:t>
            </w:r>
          </w:p>
        </w:tc>
      </w:tr>
      <w:tr w:rsidR="00A83B33">
        <w:trPr>
          <w:trHeight w:val="300"/>
        </w:trPr>
        <w:tc>
          <w:tcPr>
            <w:tcW w:w="21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75-83</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65</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65</w:t>
            </w:r>
          </w:p>
        </w:tc>
      </w:tr>
      <w:tr w:rsidR="00A83B33">
        <w:trPr>
          <w:trHeight w:val="300"/>
        </w:trPr>
        <w:tc>
          <w:tcPr>
            <w:tcW w:w="210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rsidR="00A83B33" w:rsidRDefault="00FC0D84">
            <w:pPr>
              <w:rPr>
                <w:sz w:val="24"/>
                <w:szCs w:val="24"/>
              </w:rPr>
            </w:pPr>
            <w:r>
              <w:rPr>
                <w:sz w:val="24"/>
                <w:szCs w:val="24"/>
              </w:rPr>
              <w:t>Level 2 (B 2)</w:t>
            </w:r>
          </w:p>
        </w:tc>
        <w:tc>
          <w:tcPr>
            <w:tcW w:w="2100"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rsidR="00A83B33" w:rsidRDefault="00FC0D84">
            <w:pPr>
              <w:rPr>
                <w:sz w:val="24"/>
                <w:szCs w:val="24"/>
              </w:rPr>
            </w:pPr>
            <w:r>
              <w:rPr>
                <w:sz w:val="24"/>
                <w:szCs w:val="24"/>
              </w:rPr>
              <w:t xml:space="preserve"> </w:t>
            </w:r>
          </w:p>
        </w:tc>
        <w:tc>
          <w:tcPr>
            <w:tcW w:w="2100"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tcPr>
          <w:p w:rsidR="00A83B33" w:rsidRDefault="00FC0D84">
            <w:pPr>
              <w:rPr>
                <w:sz w:val="24"/>
                <w:szCs w:val="24"/>
              </w:rPr>
            </w:pPr>
            <w:r>
              <w:rPr>
                <w:sz w:val="24"/>
                <w:szCs w:val="24"/>
              </w:rPr>
              <w:t xml:space="preserve"> </w:t>
            </w:r>
          </w:p>
        </w:tc>
      </w:tr>
      <w:tr w:rsidR="00A83B33">
        <w:trPr>
          <w:trHeight w:val="300"/>
        </w:trPr>
        <w:tc>
          <w:tcPr>
            <w:tcW w:w="21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93-100</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60</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60</w:t>
            </w:r>
          </w:p>
        </w:tc>
      </w:tr>
      <w:tr w:rsidR="00A83B33">
        <w:trPr>
          <w:trHeight w:val="300"/>
        </w:trPr>
        <w:tc>
          <w:tcPr>
            <w:tcW w:w="21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84-92</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55</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55</w:t>
            </w:r>
          </w:p>
        </w:tc>
      </w:tr>
      <w:tr w:rsidR="00A83B33">
        <w:trPr>
          <w:trHeight w:val="300"/>
        </w:trPr>
        <w:tc>
          <w:tcPr>
            <w:tcW w:w="21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75-83</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50</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50</w:t>
            </w:r>
          </w:p>
        </w:tc>
      </w:tr>
      <w:tr w:rsidR="00A83B33">
        <w:trPr>
          <w:trHeight w:val="300"/>
        </w:trPr>
        <w:tc>
          <w:tcPr>
            <w:tcW w:w="21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66-74</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45</w:t>
            </w:r>
          </w:p>
        </w:tc>
        <w:tc>
          <w:tcPr>
            <w:tcW w:w="2100" w:type="dxa"/>
            <w:tcBorders>
              <w:top w:val="nil"/>
              <w:left w:val="nil"/>
              <w:bottom w:val="single" w:sz="5" w:space="0" w:color="000000"/>
              <w:right w:val="single" w:sz="5" w:space="0" w:color="000000"/>
            </w:tcBorders>
            <w:tcMar>
              <w:top w:w="0" w:type="dxa"/>
              <w:left w:w="100" w:type="dxa"/>
              <w:bottom w:w="0" w:type="dxa"/>
              <w:right w:w="100" w:type="dxa"/>
            </w:tcMar>
          </w:tcPr>
          <w:p w:rsidR="00A83B33" w:rsidRDefault="00FC0D84">
            <w:pPr>
              <w:rPr>
                <w:sz w:val="24"/>
                <w:szCs w:val="24"/>
              </w:rPr>
            </w:pPr>
            <w:r>
              <w:rPr>
                <w:sz w:val="24"/>
                <w:szCs w:val="24"/>
              </w:rPr>
              <w:t>45</w:t>
            </w:r>
          </w:p>
        </w:tc>
      </w:tr>
    </w:tbl>
    <w:p w:rsidR="00A83B33" w:rsidRDefault="00A83B33">
      <w:pPr>
        <w:rPr>
          <w:sz w:val="24"/>
          <w:szCs w:val="24"/>
          <w:highlight w:val="yellow"/>
        </w:rPr>
      </w:pPr>
    </w:p>
    <w:p w:rsidR="00A83B33" w:rsidRDefault="00FC0D84">
      <w:pPr>
        <w:rPr>
          <w:sz w:val="24"/>
          <w:szCs w:val="24"/>
        </w:rPr>
      </w:pPr>
      <w:r>
        <w:rPr>
          <w:sz w:val="24"/>
          <w:szCs w:val="24"/>
        </w:rPr>
        <w:t xml:space="preserve">*Students who want to submit exam results other than Yeditepe University foreign language exams must upload their exam results </w:t>
      </w:r>
      <w:r>
        <w:rPr>
          <w:b/>
          <w:sz w:val="24"/>
          <w:szCs w:val="24"/>
        </w:rPr>
        <w:t xml:space="preserve">to the National Agency Application Portal during the </w:t>
      </w:r>
      <w:proofErr w:type="gramStart"/>
      <w:r>
        <w:rPr>
          <w:b/>
          <w:sz w:val="24"/>
          <w:szCs w:val="24"/>
        </w:rPr>
        <w:t xml:space="preserve">application </w:t>
      </w:r>
      <w:r>
        <w:rPr>
          <w:sz w:val="24"/>
          <w:szCs w:val="24"/>
        </w:rPr>
        <w:t>.</w:t>
      </w:r>
      <w:proofErr w:type="gramEnd"/>
    </w:p>
    <w:p w:rsidR="00A83B33" w:rsidRDefault="00A83B33">
      <w:pPr>
        <w:rPr>
          <w:color w:val="FF0000"/>
          <w:sz w:val="24"/>
          <w:szCs w:val="24"/>
        </w:rPr>
      </w:pPr>
    </w:p>
    <w:p w:rsidR="00A83B33" w:rsidRDefault="00FC0D84">
      <w:pPr>
        <w:rPr>
          <w:sz w:val="24"/>
          <w:szCs w:val="24"/>
        </w:rPr>
      </w:pPr>
      <w:r>
        <w:rPr>
          <w:sz w:val="24"/>
          <w:szCs w:val="24"/>
        </w:rPr>
        <w:t xml:space="preserve">*Which exam to take must be selected in the application </w:t>
      </w:r>
      <w:proofErr w:type="gramStart"/>
      <w:r>
        <w:rPr>
          <w:sz w:val="24"/>
          <w:szCs w:val="24"/>
        </w:rPr>
        <w:t>form.</w:t>
      </w:r>
      <w:proofErr w:type="gramEnd"/>
    </w:p>
    <w:p w:rsidR="00A83B33" w:rsidRDefault="00FC0D84">
      <w:pPr>
        <w:rPr>
          <w:sz w:val="24"/>
          <w:szCs w:val="24"/>
        </w:rPr>
      </w:pPr>
      <w:r>
        <w:rPr>
          <w:sz w:val="24"/>
          <w:szCs w:val="24"/>
        </w:rPr>
        <w:t xml:space="preserve">**The exam </w:t>
      </w:r>
      <w:proofErr w:type="gramStart"/>
      <w:r>
        <w:rPr>
          <w:sz w:val="24"/>
          <w:szCs w:val="24"/>
        </w:rPr>
        <w:t>must be taken</w:t>
      </w:r>
      <w:proofErr w:type="gramEnd"/>
      <w:r>
        <w:rPr>
          <w:sz w:val="24"/>
          <w:szCs w:val="24"/>
        </w:rPr>
        <w:t xml:space="preserve"> in the language of instruction requested by the partner universities to be preferred in the application.</w:t>
      </w:r>
    </w:p>
    <w:p w:rsidR="00A83B33" w:rsidRDefault="00FC0D84">
      <w:pPr>
        <w:rPr>
          <w:sz w:val="24"/>
          <w:szCs w:val="24"/>
        </w:rPr>
      </w:pPr>
      <w:r>
        <w:rPr>
          <w:sz w:val="24"/>
          <w:szCs w:val="24"/>
        </w:rPr>
        <w:t xml:space="preserve">***Erasmus points are calculated with the education language score requested by the </w:t>
      </w:r>
      <w:proofErr w:type="gramStart"/>
      <w:r>
        <w:rPr>
          <w:sz w:val="24"/>
          <w:szCs w:val="24"/>
        </w:rPr>
        <w:t>university of admission</w:t>
      </w:r>
      <w:proofErr w:type="gramEnd"/>
      <w:r>
        <w:rPr>
          <w:sz w:val="24"/>
          <w:szCs w:val="24"/>
        </w:rPr>
        <w:t>.</w:t>
      </w:r>
    </w:p>
    <w:p w:rsidR="00A83B33" w:rsidRDefault="00A83B33">
      <w:pPr>
        <w:rPr>
          <w:sz w:val="24"/>
          <w:szCs w:val="24"/>
        </w:rPr>
      </w:pPr>
    </w:p>
    <w:p w:rsidR="00A83B33" w:rsidRDefault="00FC0D84">
      <w:pPr>
        <w:jc w:val="both"/>
        <w:rPr>
          <w:b/>
          <w:color w:val="17365D"/>
          <w:sz w:val="24"/>
          <w:szCs w:val="24"/>
        </w:rPr>
      </w:pPr>
      <w:r>
        <w:rPr>
          <w:b/>
          <w:color w:val="17365D"/>
          <w:sz w:val="24"/>
          <w:szCs w:val="24"/>
        </w:rPr>
        <w:t>Contracted Universities and Departments:</w:t>
      </w:r>
    </w:p>
    <w:p w:rsidR="00A83B33" w:rsidRDefault="00A83B33">
      <w:pPr>
        <w:jc w:val="both"/>
        <w:rPr>
          <w:b/>
          <w:sz w:val="24"/>
          <w:szCs w:val="24"/>
        </w:rPr>
      </w:pP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6"/>
        <w:gridCol w:w="1259"/>
        <w:gridCol w:w="507"/>
        <w:gridCol w:w="498"/>
        <w:gridCol w:w="498"/>
        <w:gridCol w:w="498"/>
        <w:gridCol w:w="506"/>
        <w:gridCol w:w="3612"/>
      </w:tblGrid>
      <w:tr w:rsidR="00A83B33" w:rsidTr="00CA11E0">
        <w:trPr>
          <w:cantSplit/>
          <w:trHeight w:val="1980"/>
        </w:trPr>
        <w:tc>
          <w:tcPr>
            <w:tcW w:w="2256" w:type="dxa"/>
            <w:shd w:val="clear" w:color="auto" w:fill="95B3D7"/>
            <w:vAlign w:val="bottom"/>
          </w:tcPr>
          <w:p w:rsidR="00A83B33" w:rsidRDefault="00FC0D84">
            <w:pPr>
              <w:jc w:val="both"/>
              <w:rPr>
                <w:b/>
                <w:color w:val="FFFFFF"/>
                <w:sz w:val="24"/>
                <w:szCs w:val="24"/>
              </w:rPr>
            </w:pPr>
            <w:r>
              <w:rPr>
                <w:b/>
                <w:color w:val="FFFFFF"/>
                <w:sz w:val="24"/>
                <w:szCs w:val="24"/>
              </w:rPr>
              <w:t>University Name</w:t>
            </w:r>
          </w:p>
        </w:tc>
        <w:tc>
          <w:tcPr>
            <w:tcW w:w="1259" w:type="dxa"/>
            <w:shd w:val="clear" w:color="auto" w:fill="95B3D7"/>
            <w:vAlign w:val="bottom"/>
          </w:tcPr>
          <w:p w:rsidR="00A83B33" w:rsidRDefault="00FC0D84">
            <w:pPr>
              <w:jc w:val="both"/>
              <w:rPr>
                <w:b/>
                <w:color w:val="FFFFFF"/>
                <w:sz w:val="24"/>
                <w:szCs w:val="24"/>
              </w:rPr>
            </w:pPr>
            <w:r>
              <w:rPr>
                <w:b/>
                <w:color w:val="FFFFFF"/>
                <w:sz w:val="24"/>
                <w:szCs w:val="24"/>
              </w:rPr>
              <w:t>Country</w:t>
            </w:r>
          </w:p>
        </w:tc>
        <w:tc>
          <w:tcPr>
            <w:tcW w:w="507" w:type="dxa"/>
            <w:shd w:val="clear" w:color="auto" w:fill="95B3D7"/>
            <w:textDirection w:val="btLr"/>
            <w:vAlign w:val="bottom"/>
          </w:tcPr>
          <w:p w:rsidR="00A83B33" w:rsidRPr="00CA11E0" w:rsidRDefault="00FC0D84">
            <w:pPr>
              <w:ind w:left="113" w:right="113"/>
              <w:jc w:val="both"/>
              <w:rPr>
                <w:b/>
                <w:color w:val="FFFFFF"/>
                <w:sz w:val="18"/>
                <w:szCs w:val="18"/>
              </w:rPr>
            </w:pPr>
            <w:r w:rsidRPr="00CA11E0">
              <w:rPr>
                <w:b/>
                <w:color w:val="FFFFFF"/>
                <w:sz w:val="18"/>
                <w:szCs w:val="18"/>
              </w:rPr>
              <w:t>Quota</w:t>
            </w:r>
          </w:p>
        </w:tc>
        <w:tc>
          <w:tcPr>
            <w:tcW w:w="498" w:type="dxa"/>
            <w:shd w:val="clear" w:color="auto" w:fill="95B3D7"/>
            <w:textDirection w:val="btLr"/>
            <w:vAlign w:val="bottom"/>
          </w:tcPr>
          <w:p w:rsidR="00A83B33" w:rsidRPr="00CA11E0" w:rsidRDefault="00FC0D84">
            <w:pPr>
              <w:ind w:left="113" w:right="113"/>
              <w:jc w:val="both"/>
              <w:rPr>
                <w:b/>
                <w:color w:val="FFFFFF"/>
                <w:sz w:val="18"/>
                <w:szCs w:val="18"/>
              </w:rPr>
            </w:pPr>
            <w:r w:rsidRPr="00CA11E0">
              <w:rPr>
                <w:b/>
                <w:color w:val="FFFFFF"/>
                <w:sz w:val="18"/>
                <w:szCs w:val="18"/>
              </w:rPr>
              <w:t>Period **</w:t>
            </w:r>
          </w:p>
        </w:tc>
        <w:tc>
          <w:tcPr>
            <w:tcW w:w="498" w:type="dxa"/>
            <w:shd w:val="clear" w:color="auto" w:fill="F2F2F2"/>
            <w:textDirection w:val="btLr"/>
            <w:vAlign w:val="bottom"/>
          </w:tcPr>
          <w:p w:rsidR="00A83B33" w:rsidRPr="00CA11E0" w:rsidRDefault="00FC0D84">
            <w:pPr>
              <w:ind w:left="113" w:right="113"/>
              <w:jc w:val="both"/>
              <w:rPr>
                <w:b/>
                <w:color w:val="366091"/>
                <w:sz w:val="18"/>
                <w:szCs w:val="18"/>
              </w:rPr>
            </w:pPr>
            <w:proofErr w:type="spellStart"/>
            <w:r w:rsidRPr="00CA11E0">
              <w:rPr>
                <w:b/>
                <w:color w:val="366091"/>
                <w:sz w:val="18"/>
                <w:szCs w:val="18"/>
              </w:rPr>
              <w:t>Licence</w:t>
            </w:r>
            <w:proofErr w:type="spellEnd"/>
          </w:p>
        </w:tc>
        <w:tc>
          <w:tcPr>
            <w:tcW w:w="498" w:type="dxa"/>
            <w:shd w:val="clear" w:color="auto" w:fill="F2F2F2"/>
            <w:textDirection w:val="btLr"/>
            <w:vAlign w:val="bottom"/>
          </w:tcPr>
          <w:p w:rsidR="00A83B33" w:rsidRPr="00CA11E0" w:rsidRDefault="00FC0D84">
            <w:pPr>
              <w:ind w:left="113" w:right="113"/>
              <w:jc w:val="both"/>
              <w:rPr>
                <w:b/>
                <w:color w:val="366091"/>
                <w:sz w:val="18"/>
                <w:szCs w:val="18"/>
              </w:rPr>
            </w:pPr>
            <w:r w:rsidRPr="00CA11E0">
              <w:rPr>
                <w:b/>
                <w:color w:val="366091"/>
                <w:sz w:val="18"/>
                <w:szCs w:val="18"/>
              </w:rPr>
              <w:t>Degree</w:t>
            </w:r>
          </w:p>
        </w:tc>
        <w:tc>
          <w:tcPr>
            <w:tcW w:w="506" w:type="dxa"/>
            <w:shd w:val="clear" w:color="auto" w:fill="F2F2F2"/>
            <w:textDirection w:val="btLr"/>
            <w:vAlign w:val="bottom"/>
          </w:tcPr>
          <w:p w:rsidR="00A83B33" w:rsidRPr="00CA11E0" w:rsidRDefault="00FC0D84">
            <w:pPr>
              <w:ind w:left="113" w:right="113"/>
              <w:jc w:val="both"/>
              <w:rPr>
                <w:b/>
                <w:color w:val="366091"/>
                <w:sz w:val="18"/>
                <w:szCs w:val="18"/>
              </w:rPr>
            </w:pPr>
            <w:r w:rsidRPr="00CA11E0">
              <w:rPr>
                <w:b/>
                <w:color w:val="366091"/>
                <w:sz w:val="18"/>
                <w:szCs w:val="18"/>
              </w:rPr>
              <w:t>Doctorate</w:t>
            </w:r>
          </w:p>
        </w:tc>
        <w:tc>
          <w:tcPr>
            <w:tcW w:w="3612" w:type="dxa"/>
            <w:shd w:val="clear" w:color="auto" w:fill="95B3D7"/>
            <w:vAlign w:val="bottom"/>
          </w:tcPr>
          <w:p w:rsidR="00A83B33" w:rsidRDefault="00FC0D84">
            <w:pPr>
              <w:jc w:val="both"/>
              <w:rPr>
                <w:b/>
                <w:sz w:val="24"/>
                <w:szCs w:val="24"/>
              </w:rPr>
            </w:pPr>
            <w:r>
              <w:rPr>
                <w:b/>
                <w:color w:val="FFFFFF"/>
                <w:sz w:val="24"/>
                <w:szCs w:val="24"/>
              </w:rPr>
              <w:t>Section</w:t>
            </w:r>
          </w:p>
        </w:tc>
      </w:tr>
      <w:tr w:rsidR="00A83B33">
        <w:trPr>
          <w:trHeight w:val="386"/>
        </w:trPr>
        <w:tc>
          <w:tcPr>
            <w:tcW w:w="2256" w:type="dxa"/>
            <w:vMerge w:val="restart"/>
            <w:vAlign w:val="center"/>
          </w:tcPr>
          <w:p w:rsidR="00A83B33" w:rsidRDefault="00FC0D84">
            <w:pPr>
              <w:rPr>
                <w:sz w:val="24"/>
                <w:szCs w:val="24"/>
              </w:rPr>
            </w:pPr>
            <w:proofErr w:type="spellStart"/>
            <w:r>
              <w:rPr>
                <w:sz w:val="24"/>
                <w:szCs w:val="24"/>
              </w:rPr>
              <w:t>Myongji</w:t>
            </w:r>
            <w:proofErr w:type="spellEnd"/>
            <w:r>
              <w:rPr>
                <w:sz w:val="24"/>
                <w:szCs w:val="24"/>
              </w:rPr>
              <w:t xml:space="preserve"> University</w:t>
            </w:r>
          </w:p>
        </w:tc>
        <w:tc>
          <w:tcPr>
            <w:tcW w:w="1259" w:type="dxa"/>
            <w:vMerge w:val="restart"/>
            <w:vAlign w:val="center"/>
          </w:tcPr>
          <w:p w:rsidR="00A83B33" w:rsidRDefault="00FC0D84">
            <w:pPr>
              <w:jc w:val="both"/>
              <w:rPr>
                <w:sz w:val="24"/>
                <w:szCs w:val="24"/>
              </w:rPr>
            </w:pPr>
            <w:r>
              <w:rPr>
                <w:sz w:val="24"/>
                <w:szCs w:val="24"/>
              </w:rPr>
              <w:t>South Korea</w:t>
            </w:r>
          </w:p>
        </w:tc>
        <w:tc>
          <w:tcPr>
            <w:tcW w:w="507" w:type="dxa"/>
            <w:vMerge w:val="restart"/>
            <w:vAlign w:val="center"/>
          </w:tcPr>
          <w:p w:rsidR="00A83B33" w:rsidRDefault="00CA11E0">
            <w:pPr>
              <w:jc w:val="center"/>
              <w:rPr>
                <w:sz w:val="24"/>
                <w:szCs w:val="24"/>
              </w:rPr>
            </w:pPr>
            <w:r>
              <w:rPr>
                <w:sz w:val="24"/>
                <w:szCs w:val="24"/>
              </w:rPr>
              <w:t>1</w:t>
            </w:r>
            <w:r w:rsidR="00FC0D84">
              <w:rPr>
                <w:sz w:val="24"/>
                <w:szCs w:val="24"/>
              </w:rPr>
              <w:t>*</w:t>
            </w:r>
          </w:p>
        </w:tc>
        <w:tc>
          <w:tcPr>
            <w:tcW w:w="498" w:type="dxa"/>
            <w:vMerge w:val="restart"/>
            <w:vAlign w:val="center"/>
          </w:tcPr>
          <w:p w:rsidR="00A83B33" w:rsidRDefault="00CA11E0">
            <w:pPr>
              <w:jc w:val="center"/>
              <w:rPr>
                <w:sz w:val="24"/>
                <w:szCs w:val="24"/>
              </w:rPr>
            </w:pPr>
            <w:r>
              <w:rPr>
                <w:sz w:val="24"/>
                <w:szCs w:val="24"/>
              </w:rPr>
              <w:t>1</w:t>
            </w:r>
          </w:p>
        </w:tc>
        <w:tc>
          <w:tcPr>
            <w:tcW w:w="498" w:type="dxa"/>
            <w:vMerge w:val="restart"/>
            <w:shd w:val="clear" w:color="auto" w:fill="F2F2F2"/>
            <w:vAlign w:val="center"/>
          </w:tcPr>
          <w:p w:rsidR="00A83B33" w:rsidRDefault="00FC0D84">
            <w:pPr>
              <w:jc w:val="center"/>
              <w:rPr>
                <w:sz w:val="24"/>
                <w:szCs w:val="24"/>
              </w:rPr>
            </w:pPr>
            <w:r>
              <w:rPr>
                <w:sz w:val="24"/>
                <w:szCs w:val="24"/>
              </w:rPr>
              <w:t>X</w:t>
            </w:r>
          </w:p>
        </w:tc>
        <w:tc>
          <w:tcPr>
            <w:tcW w:w="498" w:type="dxa"/>
            <w:vMerge w:val="restart"/>
            <w:shd w:val="clear" w:color="auto" w:fill="F2F2F2"/>
            <w:vAlign w:val="center"/>
          </w:tcPr>
          <w:p w:rsidR="00A83B33" w:rsidRDefault="00A83B33">
            <w:pPr>
              <w:jc w:val="both"/>
              <w:rPr>
                <w:sz w:val="24"/>
                <w:szCs w:val="24"/>
              </w:rPr>
            </w:pPr>
          </w:p>
        </w:tc>
        <w:tc>
          <w:tcPr>
            <w:tcW w:w="506" w:type="dxa"/>
            <w:vMerge w:val="restart"/>
            <w:shd w:val="clear" w:color="auto" w:fill="F2F2F2"/>
            <w:vAlign w:val="center"/>
          </w:tcPr>
          <w:p w:rsidR="00A83B33" w:rsidRDefault="00A83B33">
            <w:pPr>
              <w:jc w:val="both"/>
              <w:rPr>
                <w:sz w:val="24"/>
                <w:szCs w:val="24"/>
              </w:rPr>
            </w:pPr>
          </w:p>
        </w:tc>
        <w:tc>
          <w:tcPr>
            <w:tcW w:w="3612" w:type="dxa"/>
            <w:vAlign w:val="center"/>
          </w:tcPr>
          <w:p w:rsidR="00A83B33" w:rsidRDefault="00FC0D84">
            <w:pPr>
              <w:jc w:val="both"/>
              <w:rPr>
                <w:sz w:val="24"/>
                <w:szCs w:val="24"/>
              </w:rPr>
            </w:pPr>
            <w:r>
              <w:rPr>
                <w:sz w:val="24"/>
                <w:szCs w:val="24"/>
              </w:rPr>
              <w:t>Political science and international relations</w:t>
            </w:r>
          </w:p>
        </w:tc>
      </w:tr>
      <w:tr w:rsidR="00A83B33">
        <w:trPr>
          <w:trHeight w:val="400"/>
        </w:trPr>
        <w:tc>
          <w:tcPr>
            <w:tcW w:w="2256" w:type="dxa"/>
            <w:vMerge/>
            <w:vAlign w:val="center"/>
          </w:tcPr>
          <w:p w:rsidR="00A83B33" w:rsidRDefault="00A83B33">
            <w:pPr>
              <w:widowControl w:val="0"/>
              <w:pBdr>
                <w:top w:val="nil"/>
                <w:left w:val="nil"/>
                <w:bottom w:val="nil"/>
                <w:right w:val="nil"/>
                <w:between w:val="nil"/>
              </w:pBdr>
              <w:spacing w:line="276" w:lineRule="auto"/>
              <w:rPr>
                <w:sz w:val="24"/>
                <w:szCs w:val="24"/>
              </w:rPr>
            </w:pPr>
          </w:p>
        </w:tc>
        <w:tc>
          <w:tcPr>
            <w:tcW w:w="1259" w:type="dxa"/>
            <w:vMerge/>
            <w:vAlign w:val="center"/>
          </w:tcPr>
          <w:p w:rsidR="00A83B33" w:rsidRDefault="00A83B33">
            <w:pPr>
              <w:widowControl w:val="0"/>
              <w:pBdr>
                <w:top w:val="nil"/>
                <w:left w:val="nil"/>
                <w:bottom w:val="nil"/>
                <w:right w:val="nil"/>
                <w:between w:val="nil"/>
              </w:pBdr>
              <w:spacing w:line="276" w:lineRule="auto"/>
              <w:rPr>
                <w:sz w:val="24"/>
                <w:szCs w:val="24"/>
              </w:rPr>
            </w:pPr>
          </w:p>
        </w:tc>
        <w:tc>
          <w:tcPr>
            <w:tcW w:w="507" w:type="dxa"/>
            <w:vMerge/>
            <w:vAlign w:val="center"/>
          </w:tcPr>
          <w:p w:rsidR="00A83B33" w:rsidRDefault="00A83B33">
            <w:pPr>
              <w:widowControl w:val="0"/>
              <w:pBdr>
                <w:top w:val="nil"/>
                <w:left w:val="nil"/>
                <w:bottom w:val="nil"/>
                <w:right w:val="nil"/>
                <w:between w:val="nil"/>
              </w:pBdr>
              <w:spacing w:line="276" w:lineRule="auto"/>
              <w:rPr>
                <w:sz w:val="24"/>
                <w:szCs w:val="24"/>
              </w:rPr>
            </w:pPr>
          </w:p>
        </w:tc>
        <w:tc>
          <w:tcPr>
            <w:tcW w:w="498" w:type="dxa"/>
            <w:vMerge/>
            <w:vAlign w:val="center"/>
          </w:tcPr>
          <w:p w:rsidR="00A83B33" w:rsidRDefault="00A83B33">
            <w:pPr>
              <w:widowControl w:val="0"/>
              <w:pBdr>
                <w:top w:val="nil"/>
                <w:left w:val="nil"/>
                <w:bottom w:val="nil"/>
                <w:right w:val="nil"/>
                <w:between w:val="nil"/>
              </w:pBdr>
              <w:spacing w:line="276" w:lineRule="auto"/>
              <w:rPr>
                <w:sz w:val="24"/>
                <w:szCs w:val="24"/>
              </w:rPr>
            </w:pPr>
          </w:p>
        </w:tc>
        <w:tc>
          <w:tcPr>
            <w:tcW w:w="498" w:type="dxa"/>
            <w:vMerge/>
            <w:shd w:val="clear" w:color="auto" w:fill="F2F2F2"/>
            <w:vAlign w:val="center"/>
          </w:tcPr>
          <w:p w:rsidR="00A83B33" w:rsidRDefault="00A83B33">
            <w:pPr>
              <w:widowControl w:val="0"/>
              <w:pBdr>
                <w:top w:val="nil"/>
                <w:left w:val="nil"/>
                <w:bottom w:val="nil"/>
                <w:right w:val="nil"/>
                <w:between w:val="nil"/>
              </w:pBdr>
              <w:spacing w:line="276" w:lineRule="auto"/>
              <w:rPr>
                <w:sz w:val="24"/>
                <w:szCs w:val="24"/>
              </w:rPr>
            </w:pPr>
          </w:p>
        </w:tc>
        <w:tc>
          <w:tcPr>
            <w:tcW w:w="498" w:type="dxa"/>
            <w:vMerge/>
            <w:shd w:val="clear" w:color="auto" w:fill="F2F2F2"/>
            <w:vAlign w:val="center"/>
          </w:tcPr>
          <w:p w:rsidR="00A83B33" w:rsidRDefault="00A83B33">
            <w:pPr>
              <w:widowControl w:val="0"/>
              <w:pBdr>
                <w:top w:val="nil"/>
                <w:left w:val="nil"/>
                <w:bottom w:val="nil"/>
                <w:right w:val="nil"/>
                <w:between w:val="nil"/>
              </w:pBdr>
              <w:spacing w:line="276" w:lineRule="auto"/>
              <w:rPr>
                <w:sz w:val="24"/>
                <w:szCs w:val="24"/>
              </w:rPr>
            </w:pPr>
          </w:p>
        </w:tc>
        <w:tc>
          <w:tcPr>
            <w:tcW w:w="506" w:type="dxa"/>
            <w:vMerge/>
            <w:shd w:val="clear" w:color="auto" w:fill="F2F2F2"/>
            <w:vAlign w:val="center"/>
          </w:tcPr>
          <w:p w:rsidR="00A83B33" w:rsidRDefault="00A83B33">
            <w:pPr>
              <w:widowControl w:val="0"/>
              <w:pBdr>
                <w:top w:val="nil"/>
                <w:left w:val="nil"/>
                <w:bottom w:val="nil"/>
                <w:right w:val="nil"/>
                <w:between w:val="nil"/>
              </w:pBdr>
              <w:spacing w:line="276" w:lineRule="auto"/>
              <w:rPr>
                <w:sz w:val="24"/>
                <w:szCs w:val="24"/>
              </w:rPr>
            </w:pPr>
          </w:p>
        </w:tc>
        <w:tc>
          <w:tcPr>
            <w:tcW w:w="3612" w:type="dxa"/>
            <w:vAlign w:val="center"/>
          </w:tcPr>
          <w:p w:rsidR="00A83B33" w:rsidRDefault="00FC0D84">
            <w:pPr>
              <w:jc w:val="both"/>
              <w:rPr>
                <w:sz w:val="24"/>
                <w:szCs w:val="24"/>
              </w:rPr>
            </w:pPr>
            <w:r>
              <w:rPr>
                <w:sz w:val="24"/>
                <w:szCs w:val="24"/>
              </w:rPr>
              <w:t>Business</w:t>
            </w:r>
          </w:p>
        </w:tc>
      </w:tr>
      <w:tr w:rsidR="00A83B33">
        <w:trPr>
          <w:trHeight w:val="726"/>
        </w:trPr>
        <w:tc>
          <w:tcPr>
            <w:tcW w:w="2256" w:type="dxa"/>
            <w:vAlign w:val="center"/>
          </w:tcPr>
          <w:p w:rsidR="00A83B33" w:rsidRDefault="00FC0D84">
            <w:pPr>
              <w:rPr>
                <w:sz w:val="24"/>
                <w:szCs w:val="24"/>
              </w:rPr>
            </w:pPr>
            <w:proofErr w:type="spellStart"/>
            <w:r>
              <w:rPr>
                <w:sz w:val="24"/>
                <w:szCs w:val="24"/>
              </w:rPr>
              <w:t>Ivanova</w:t>
            </w:r>
            <w:proofErr w:type="spellEnd"/>
            <w:r>
              <w:rPr>
                <w:sz w:val="24"/>
                <w:szCs w:val="24"/>
              </w:rPr>
              <w:t xml:space="preserve"> State University</w:t>
            </w:r>
          </w:p>
        </w:tc>
        <w:tc>
          <w:tcPr>
            <w:tcW w:w="1259" w:type="dxa"/>
            <w:vAlign w:val="center"/>
          </w:tcPr>
          <w:p w:rsidR="00A83B33" w:rsidRDefault="00FC0D84">
            <w:pPr>
              <w:jc w:val="both"/>
              <w:rPr>
                <w:sz w:val="24"/>
                <w:szCs w:val="24"/>
              </w:rPr>
            </w:pPr>
            <w:r>
              <w:rPr>
                <w:sz w:val="24"/>
                <w:szCs w:val="24"/>
              </w:rPr>
              <w:t>Russia</w:t>
            </w:r>
          </w:p>
        </w:tc>
        <w:tc>
          <w:tcPr>
            <w:tcW w:w="507" w:type="dxa"/>
            <w:vAlign w:val="center"/>
          </w:tcPr>
          <w:p w:rsidR="00A83B33" w:rsidRDefault="00CA11E0">
            <w:pPr>
              <w:jc w:val="center"/>
              <w:rPr>
                <w:sz w:val="24"/>
                <w:szCs w:val="24"/>
              </w:rPr>
            </w:pPr>
            <w:r>
              <w:rPr>
                <w:sz w:val="24"/>
                <w:szCs w:val="24"/>
              </w:rPr>
              <w:t>1</w:t>
            </w:r>
          </w:p>
        </w:tc>
        <w:tc>
          <w:tcPr>
            <w:tcW w:w="498" w:type="dxa"/>
            <w:vAlign w:val="center"/>
          </w:tcPr>
          <w:p w:rsidR="00A83B33" w:rsidRDefault="00CA11E0">
            <w:pPr>
              <w:jc w:val="center"/>
              <w:rPr>
                <w:sz w:val="24"/>
                <w:szCs w:val="24"/>
              </w:rPr>
            </w:pPr>
            <w:r>
              <w:rPr>
                <w:sz w:val="24"/>
                <w:szCs w:val="24"/>
              </w:rPr>
              <w:t>1</w:t>
            </w:r>
          </w:p>
        </w:tc>
        <w:tc>
          <w:tcPr>
            <w:tcW w:w="498" w:type="dxa"/>
            <w:shd w:val="clear" w:color="auto" w:fill="F2F2F2"/>
            <w:vAlign w:val="center"/>
          </w:tcPr>
          <w:p w:rsidR="00A83B33" w:rsidRDefault="00FC0D84">
            <w:pPr>
              <w:jc w:val="center"/>
              <w:rPr>
                <w:sz w:val="24"/>
                <w:szCs w:val="24"/>
              </w:rPr>
            </w:pPr>
            <w:r>
              <w:rPr>
                <w:sz w:val="24"/>
                <w:szCs w:val="24"/>
              </w:rPr>
              <w:t>X</w:t>
            </w:r>
          </w:p>
        </w:tc>
        <w:tc>
          <w:tcPr>
            <w:tcW w:w="498" w:type="dxa"/>
            <w:shd w:val="clear" w:color="auto" w:fill="F2F2F2"/>
            <w:vAlign w:val="center"/>
          </w:tcPr>
          <w:p w:rsidR="00A83B33" w:rsidRDefault="00A83B33">
            <w:pPr>
              <w:jc w:val="both"/>
              <w:rPr>
                <w:sz w:val="24"/>
                <w:szCs w:val="24"/>
              </w:rPr>
            </w:pPr>
          </w:p>
        </w:tc>
        <w:tc>
          <w:tcPr>
            <w:tcW w:w="506" w:type="dxa"/>
            <w:shd w:val="clear" w:color="auto" w:fill="F2F2F2"/>
            <w:vAlign w:val="center"/>
          </w:tcPr>
          <w:p w:rsidR="00A83B33" w:rsidRDefault="00A83B33">
            <w:pPr>
              <w:jc w:val="both"/>
              <w:rPr>
                <w:sz w:val="24"/>
                <w:szCs w:val="24"/>
              </w:rPr>
            </w:pPr>
          </w:p>
        </w:tc>
        <w:tc>
          <w:tcPr>
            <w:tcW w:w="3612" w:type="dxa"/>
            <w:vAlign w:val="center"/>
          </w:tcPr>
          <w:p w:rsidR="00A83B33" w:rsidRDefault="00FC0D84">
            <w:pPr>
              <w:jc w:val="both"/>
              <w:rPr>
                <w:sz w:val="24"/>
                <w:szCs w:val="24"/>
              </w:rPr>
            </w:pPr>
            <w:r>
              <w:rPr>
                <w:sz w:val="24"/>
                <w:szCs w:val="24"/>
              </w:rPr>
              <w:t>Russian Language and Literature</w:t>
            </w:r>
          </w:p>
        </w:tc>
      </w:tr>
      <w:tr w:rsidR="00A83B33">
        <w:trPr>
          <w:trHeight w:val="560"/>
        </w:trPr>
        <w:tc>
          <w:tcPr>
            <w:tcW w:w="2256" w:type="dxa"/>
            <w:vMerge w:val="restart"/>
            <w:vAlign w:val="center"/>
          </w:tcPr>
          <w:p w:rsidR="00A83B33" w:rsidRDefault="00FC0D84">
            <w:pPr>
              <w:rPr>
                <w:sz w:val="24"/>
                <w:szCs w:val="24"/>
              </w:rPr>
            </w:pPr>
            <w:r>
              <w:rPr>
                <w:sz w:val="24"/>
                <w:szCs w:val="24"/>
              </w:rPr>
              <w:t>Moscow State Linguistic University</w:t>
            </w:r>
          </w:p>
        </w:tc>
        <w:tc>
          <w:tcPr>
            <w:tcW w:w="1259" w:type="dxa"/>
            <w:vMerge w:val="restart"/>
            <w:vAlign w:val="center"/>
          </w:tcPr>
          <w:p w:rsidR="00A83B33" w:rsidRDefault="00FC0D84">
            <w:pPr>
              <w:jc w:val="both"/>
              <w:rPr>
                <w:sz w:val="24"/>
                <w:szCs w:val="24"/>
              </w:rPr>
            </w:pPr>
            <w:r>
              <w:rPr>
                <w:sz w:val="24"/>
                <w:szCs w:val="24"/>
              </w:rPr>
              <w:t>Russia</w:t>
            </w:r>
          </w:p>
        </w:tc>
        <w:tc>
          <w:tcPr>
            <w:tcW w:w="507" w:type="dxa"/>
            <w:vAlign w:val="center"/>
          </w:tcPr>
          <w:p w:rsidR="00A83B33" w:rsidRDefault="00CA11E0">
            <w:pPr>
              <w:jc w:val="center"/>
              <w:rPr>
                <w:sz w:val="24"/>
                <w:szCs w:val="24"/>
              </w:rPr>
            </w:pPr>
            <w:r>
              <w:rPr>
                <w:sz w:val="24"/>
                <w:szCs w:val="24"/>
              </w:rPr>
              <w:t>1</w:t>
            </w:r>
          </w:p>
        </w:tc>
        <w:tc>
          <w:tcPr>
            <w:tcW w:w="498" w:type="dxa"/>
            <w:vAlign w:val="center"/>
          </w:tcPr>
          <w:p w:rsidR="00A83B33" w:rsidRDefault="00CA11E0" w:rsidP="00CA11E0">
            <w:pPr>
              <w:jc w:val="center"/>
              <w:rPr>
                <w:sz w:val="24"/>
                <w:szCs w:val="24"/>
              </w:rPr>
            </w:pPr>
            <w:r>
              <w:rPr>
                <w:sz w:val="24"/>
                <w:szCs w:val="24"/>
              </w:rPr>
              <w:t>1</w:t>
            </w:r>
          </w:p>
        </w:tc>
        <w:tc>
          <w:tcPr>
            <w:tcW w:w="498" w:type="dxa"/>
            <w:shd w:val="clear" w:color="auto" w:fill="F2F2F2"/>
            <w:vAlign w:val="center"/>
          </w:tcPr>
          <w:p w:rsidR="00A83B33" w:rsidRDefault="00FC0D84">
            <w:pPr>
              <w:jc w:val="center"/>
              <w:rPr>
                <w:sz w:val="24"/>
                <w:szCs w:val="24"/>
              </w:rPr>
            </w:pPr>
            <w:r>
              <w:rPr>
                <w:sz w:val="24"/>
                <w:szCs w:val="24"/>
              </w:rPr>
              <w:t>X</w:t>
            </w:r>
          </w:p>
        </w:tc>
        <w:tc>
          <w:tcPr>
            <w:tcW w:w="498" w:type="dxa"/>
            <w:shd w:val="clear" w:color="auto" w:fill="F2F2F2"/>
            <w:vAlign w:val="center"/>
          </w:tcPr>
          <w:p w:rsidR="00A83B33" w:rsidRDefault="00A83B33">
            <w:pPr>
              <w:jc w:val="both"/>
              <w:rPr>
                <w:sz w:val="24"/>
                <w:szCs w:val="24"/>
              </w:rPr>
            </w:pPr>
          </w:p>
        </w:tc>
        <w:tc>
          <w:tcPr>
            <w:tcW w:w="506" w:type="dxa"/>
            <w:shd w:val="clear" w:color="auto" w:fill="F2F2F2"/>
            <w:vAlign w:val="center"/>
          </w:tcPr>
          <w:p w:rsidR="00A83B33" w:rsidRDefault="00A83B33">
            <w:pPr>
              <w:jc w:val="both"/>
              <w:rPr>
                <w:sz w:val="24"/>
                <w:szCs w:val="24"/>
              </w:rPr>
            </w:pPr>
          </w:p>
        </w:tc>
        <w:tc>
          <w:tcPr>
            <w:tcW w:w="3612" w:type="dxa"/>
            <w:vAlign w:val="center"/>
          </w:tcPr>
          <w:p w:rsidR="00A83B33" w:rsidRDefault="00FC0D84">
            <w:pPr>
              <w:jc w:val="both"/>
              <w:rPr>
                <w:sz w:val="24"/>
                <w:szCs w:val="24"/>
              </w:rPr>
            </w:pPr>
            <w:r>
              <w:rPr>
                <w:sz w:val="24"/>
                <w:szCs w:val="24"/>
              </w:rPr>
              <w:t>Russian Language and Literature</w:t>
            </w:r>
          </w:p>
        </w:tc>
      </w:tr>
      <w:tr w:rsidR="00A83B33">
        <w:trPr>
          <w:trHeight w:val="698"/>
        </w:trPr>
        <w:tc>
          <w:tcPr>
            <w:tcW w:w="2256" w:type="dxa"/>
            <w:vMerge/>
            <w:vAlign w:val="center"/>
          </w:tcPr>
          <w:p w:rsidR="00A83B33" w:rsidRDefault="00A83B33">
            <w:pPr>
              <w:widowControl w:val="0"/>
              <w:pBdr>
                <w:top w:val="nil"/>
                <w:left w:val="nil"/>
                <w:bottom w:val="nil"/>
                <w:right w:val="nil"/>
                <w:between w:val="nil"/>
              </w:pBdr>
              <w:spacing w:line="276" w:lineRule="auto"/>
              <w:rPr>
                <w:sz w:val="24"/>
                <w:szCs w:val="24"/>
              </w:rPr>
            </w:pPr>
          </w:p>
        </w:tc>
        <w:tc>
          <w:tcPr>
            <w:tcW w:w="1259" w:type="dxa"/>
            <w:vMerge/>
            <w:vAlign w:val="center"/>
          </w:tcPr>
          <w:p w:rsidR="00A83B33" w:rsidRDefault="00A83B33">
            <w:pPr>
              <w:widowControl w:val="0"/>
              <w:pBdr>
                <w:top w:val="nil"/>
                <w:left w:val="nil"/>
                <w:bottom w:val="nil"/>
                <w:right w:val="nil"/>
                <w:between w:val="nil"/>
              </w:pBdr>
              <w:spacing w:line="276" w:lineRule="auto"/>
              <w:rPr>
                <w:sz w:val="24"/>
                <w:szCs w:val="24"/>
              </w:rPr>
            </w:pPr>
          </w:p>
        </w:tc>
        <w:tc>
          <w:tcPr>
            <w:tcW w:w="507" w:type="dxa"/>
            <w:vAlign w:val="center"/>
          </w:tcPr>
          <w:p w:rsidR="00A83B33" w:rsidRDefault="00CA11E0">
            <w:pPr>
              <w:jc w:val="center"/>
              <w:rPr>
                <w:sz w:val="24"/>
                <w:szCs w:val="24"/>
              </w:rPr>
            </w:pPr>
            <w:r>
              <w:rPr>
                <w:sz w:val="24"/>
                <w:szCs w:val="24"/>
              </w:rPr>
              <w:t>1</w:t>
            </w:r>
          </w:p>
        </w:tc>
        <w:tc>
          <w:tcPr>
            <w:tcW w:w="498" w:type="dxa"/>
            <w:vAlign w:val="center"/>
          </w:tcPr>
          <w:p w:rsidR="00A83B33" w:rsidRDefault="00CA11E0">
            <w:pPr>
              <w:jc w:val="center"/>
              <w:rPr>
                <w:sz w:val="24"/>
                <w:szCs w:val="24"/>
              </w:rPr>
            </w:pPr>
            <w:r>
              <w:rPr>
                <w:sz w:val="24"/>
                <w:szCs w:val="24"/>
              </w:rPr>
              <w:t>1</w:t>
            </w:r>
          </w:p>
        </w:tc>
        <w:tc>
          <w:tcPr>
            <w:tcW w:w="498" w:type="dxa"/>
            <w:shd w:val="clear" w:color="auto" w:fill="F2F2F2"/>
            <w:vAlign w:val="center"/>
          </w:tcPr>
          <w:p w:rsidR="00A83B33" w:rsidRDefault="00FC0D84">
            <w:pPr>
              <w:jc w:val="center"/>
              <w:rPr>
                <w:sz w:val="24"/>
                <w:szCs w:val="24"/>
              </w:rPr>
            </w:pPr>
            <w:r>
              <w:rPr>
                <w:sz w:val="24"/>
                <w:szCs w:val="24"/>
              </w:rPr>
              <w:t>X</w:t>
            </w:r>
          </w:p>
        </w:tc>
        <w:tc>
          <w:tcPr>
            <w:tcW w:w="498" w:type="dxa"/>
            <w:shd w:val="clear" w:color="auto" w:fill="F2F2F2"/>
            <w:vAlign w:val="center"/>
          </w:tcPr>
          <w:p w:rsidR="00A83B33" w:rsidRDefault="00A83B33">
            <w:pPr>
              <w:jc w:val="both"/>
              <w:rPr>
                <w:sz w:val="24"/>
                <w:szCs w:val="24"/>
              </w:rPr>
            </w:pPr>
          </w:p>
        </w:tc>
        <w:tc>
          <w:tcPr>
            <w:tcW w:w="506" w:type="dxa"/>
            <w:shd w:val="clear" w:color="auto" w:fill="F2F2F2"/>
            <w:vAlign w:val="center"/>
          </w:tcPr>
          <w:p w:rsidR="00A83B33" w:rsidRDefault="00A83B33">
            <w:pPr>
              <w:jc w:val="both"/>
              <w:rPr>
                <w:sz w:val="24"/>
                <w:szCs w:val="24"/>
              </w:rPr>
            </w:pPr>
          </w:p>
        </w:tc>
        <w:tc>
          <w:tcPr>
            <w:tcW w:w="3612" w:type="dxa"/>
            <w:vAlign w:val="center"/>
          </w:tcPr>
          <w:p w:rsidR="00A83B33" w:rsidRDefault="00FC0D84">
            <w:pPr>
              <w:jc w:val="both"/>
              <w:rPr>
                <w:sz w:val="24"/>
                <w:szCs w:val="24"/>
              </w:rPr>
            </w:pPr>
            <w:r>
              <w:rPr>
                <w:sz w:val="24"/>
                <w:szCs w:val="24"/>
              </w:rPr>
              <w:t>Translation Science</w:t>
            </w:r>
          </w:p>
        </w:tc>
      </w:tr>
      <w:tr w:rsidR="00A83B33">
        <w:trPr>
          <w:trHeight w:val="712"/>
        </w:trPr>
        <w:tc>
          <w:tcPr>
            <w:tcW w:w="9634" w:type="dxa"/>
            <w:gridSpan w:val="8"/>
            <w:shd w:val="clear" w:color="auto" w:fill="F2F2F2"/>
          </w:tcPr>
          <w:p w:rsidR="00A83B33" w:rsidRDefault="00FC0D84">
            <w:pPr>
              <w:jc w:val="both"/>
              <w:rPr>
                <w:i/>
                <w:sz w:val="24"/>
                <w:szCs w:val="24"/>
              </w:rPr>
            </w:pPr>
            <w:r>
              <w:rPr>
                <w:i/>
                <w:sz w:val="24"/>
                <w:szCs w:val="24"/>
              </w:rPr>
              <w:t xml:space="preserve">*This is a common quota. The student with the highest Erasmus score from both departments </w:t>
            </w:r>
            <w:proofErr w:type="gramStart"/>
            <w:r>
              <w:rPr>
                <w:i/>
                <w:sz w:val="24"/>
                <w:szCs w:val="24"/>
              </w:rPr>
              <w:t>is placed</w:t>
            </w:r>
            <w:proofErr w:type="gramEnd"/>
            <w:r>
              <w:rPr>
                <w:i/>
                <w:sz w:val="24"/>
                <w:szCs w:val="24"/>
              </w:rPr>
              <w:t>.</w:t>
            </w:r>
          </w:p>
        </w:tc>
      </w:tr>
      <w:tr w:rsidR="00A83B33">
        <w:trPr>
          <w:trHeight w:val="422"/>
        </w:trPr>
        <w:tc>
          <w:tcPr>
            <w:tcW w:w="9634" w:type="dxa"/>
            <w:gridSpan w:val="8"/>
            <w:shd w:val="clear" w:color="auto" w:fill="F2F2F2"/>
          </w:tcPr>
          <w:p w:rsidR="00A83B33" w:rsidRDefault="00FC0D84">
            <w:pPr>
              <w:jc w:val="both"/>
              <w:rPr>
                <w:i/>
                <w:sz w:val="24"/>
                <w:szCs w:val="24"/>
              </w:rPr>
            </w:pPr>
            <w:r>
              <w:rPr>
                <w:i/>
                <w:sz w:val="24"/>
                <w:szCs w:val="24"/>
              </w:rPr>
              <w:t>** One semester is approximately 4.5 months.</w:t>
            </w:r>
          </w:p>
        </w:tc>
      </w:tr>
    </w:tbl>
    <w:p w:rsidR="00A83B33" w:rsidRDefault="00A83B33">
      <w:pPr>
        <w:jc w:val="both"/>
        <w:rPr>
          <w:sz w:val="24"/>
          <w:szCs w:val="24"/>
        </w:rPr>
      </w:pPr>
    </w:p>
    <w:p w:rsidR="00A83B33" w:rsidRDefault="00FC0D84">
      <w:pPr>
        <w:numPr>
          <w:ilvl w:val="0"/>
          <w:numId w:val="2"/>
        </w:numPr>
        <w:jc w:val="both"/>
        <w:rPr>
          <w:sz w:val="24"/>
          <w:szCs w:val="24"/>
        </w:rPr>
      </w:pPr>
      <w:r>
        <w:rPr>
          <w:sz w:val="24"/>
          <w:szCs w:val="24"/>
        </w:rPr>
        <w:t xml:space="preserve">It is not possible to apply from a non-contracted department. University selection </w:t>
      </w:r>
      <w:proofErr w:type="gramStart"/>
      <w:r>
        <w:rPr>
          <w:sz w:val="24"/>
          <w:szCs w:val="24"/>
        </w:rPr>
        <w:t>should be made</w:t>
      </w:r>
      <w:proofErr w:type="gramEnd"/>
      <w:r>
        <w:rPr>
          <w:sz w:val="24"/>
          <w:szCs w:val="24"/>
        </w:rPr>
        <w:t xml:space="preserve"> according to department quota.</w:t>
      </w:r>
    </w:p>
    <w:p w:rsidR="00A83B33" w:rsidRDefault="00FC0D84">
      <w:pPr>
        <w:numPr>
          <w:ilvl w:val="0"/>
          <w:numId w:val="2"/>
        </w:numPr>
        <w:jc w:val="both"/>
        <w:rPr>
          <w:sz w:val="24"/>
          <w:szCs w:val="24"/>
        </w:rPr>
      </w:pPr>
      <w:r>
        <w:rPr>
          <w:sz w:val="24"/>
          <w:szCs w:val="24"/>
        </w:rPr>
        <w:t xml:space="preserve">Before choosing a university, academic issues such as course suitability and language of instruction </w:t>
      </w:r>
      <w:proofErr w:type="gramStart"/>
      <w:r>
        <w:rPr>
          <w:sz w:val="24"/>
          <w:szCs w:val="24"/>
        </w:rPr>
        <w:t>should be consulted with the Department/Program coordinator and researched on the websites of partner universities</w:t>
      </w:r>
      <w:proofErr w:type="gramEnd"/>
      <w:r>
        <w:rPr>
          <w:sz w:val="24"/>
          <w:szCs w:val="24"/>
        </w:rPr>
        <w:t>.</w:t>
      </w:r>
    </w:p>
    <w:p w:rsidR="00A83B33" w:rsidRDefault="00A83B33">
      <w:pPr>
        <w:ind w:left="720"/>
        <w:jc w:val="both"/>
        <w:rPr>
          <w:sz w:val="24"/>
          <w:szCs w:val="24"/>
        </w:rPr>
      </w:pPr>
    </w:p>
    <w:p w:rsidR="00A83B33" w:rsidRDefault="00C14817">
      <w:pPr>
        <w:numPr>
          <w:ilvl w:val="0"/>
          <w:numId w:val="2"/>
        </w:numPr>
        <w:jc w:val="both"/>
        <w:rPr>
          <w:sz w:val="24"/>
          <w:szCs w:val="24"/>
        </w:rPr>
      </w:pPr>
      <w:hyperlink r:id="rId12">
        <w:r w:rsidR="00FC0D84">
          <w:rPr>
            <w:color w:val="1155CC"/>
            <w:sz w:val="24"/>
            <w:szCs w:val="24"/>
            <w:u w:val="single"/>
          </w:rPr>
          <w:t>List of department/program coordinators</w:t>
        </w:r>
      </w:hyperlink>
    </w:p>
    <w:p w:rsidR="00A83B33" w:rsidRDefault="00A83B33">
      <w:pPr>
        <w:pBdr>
          <w:bottom w:val="none" w:sz="0" w:space="11" w:color="000000"/>
        </w:pBdr>
        <w:shd w:val="clear" w:color="auto" w:fill="FFFFFF"/>
        <w:jc w:val="both"/>
        <w:rPr>
          <w:sz w:val="24"/>
          <w:szCs w:val="24"/>
        </w:rPr>
      </w:pPr>
    </w:p>
    <w:p w:rsidR="00A83B33" w:rsidRDefault="00FC0D84">
      <w:pPr>
        <w:rPr>
          <w:b/>
          <w:sz w:val="24"/>
          <w:szCs w:val="24"/>
        </w:rPr>
      </w:pPr>
      <w:r>
        <w:rPr>
          <w:b/>
          <w:color w:val="366091"/>
          <w:sz w:val="24"/>
          <w:szCs w:val="24"/>
        </w:rPr>
        <w:t xml:space="preserve">Online Application: </w:t>
      </w:r>
      <w:r>
        <w:rPr>
          <w:sz w:val="24"/>
          <w:szCs w:val="24"/>
        </w:rPr>
        <w:t xml:space="preserve">It </w:t>
      </w:r>
      <w:proofErr w:type="gramStart"/>
      <w:r>
        <w:rPr>
          <w:sz w:val="24"/>
          <w:szCs w:val="24"/>
        </w:rPr>
        <w:t>will be made</w:t>
      </w:r>
      <w:proofErr w:type="gramEnd"/>
      <w:r>
        <w:rPr>
          <w:sz w:val="24"/>
          <w:szCs w:val="24"/>
        </w:rPr>
        <w:t xml:space="preserve"> through the National Agency application portal.</w:t>
      </w:r>
      <w:r>
        <w:rPr>
          <w:b/>
          <w:sz w:val="24"/>
          <w:szCs w:val="24"/>
        </w:rPr>
        <w:t xml:space="preserve"> </w:t>
      </w:r>
    </w:p>
    <w:p w:rsidR="00A83B33" w:rsidRDefault="00A83B33">
      <w:pPr>
        <w:rPr>
          <w:b/>
          <w:sz w:val="24"/>
          <w:szCs w:val="24"/>
        </w:rPr>
      </w:pPr>
    </w:p>
    <w:p w:rsidR="00A83B33" w:rsidRPr="00644028" w:rsidRDefault="00FC0D84">
      <w:pPr>
        <w:rPr>
          <w:b/>
          <w:color w:val="3F3F3F"/>
          <w:sz w:val="24"/>
          <w:szCs w:val="24"/>
        </w:rPr>
      </w:pPr>
      <w:r>
        <w:rPr>
          <w:b/>
          <w:color w:val="366091"/>
          <w:sz w:val="24"/>
          <w:szCs w:val="24"/>
        </w:rPr>
        <w:t xml:space="preserve">National Agency Application Portal: </w:t>
      </w:r>
      <w:hyperlink r:id="rId13">
        <w:r>
          <w:rPr>
            <w:b/>
            <w:color w:val="1155CC"/>
            <w:sz w:val="24"/>
            <w:szCs w:val="24"/>
            <w:highlight w:val="white"/>
            <w:u w:val="single"/>
          </w:rPr>
          <w:t>https://erasmusbasvuru.ua.gov.tr</w:t>
        </w:r>
      </w:hyperlink>
    </w:p>
    <w:p w:rsidR="00A83B33" w:rsidRDefault="00A83B33">
      <w:pPr>
        <w:rPr>
          <w:sz w:val="24"/>
          <w:szCs w:val="24"/>
        </w:rPr>
      </w:pPr>
    </w:p>
    <w:p w:rsidR="00A83B33" w:rsidRDefault="00FC0D84">
      <w:pPr>
        <w:jc w:val="both"/>
        <w:rPr>
          <w:sz w:val="24"/>
          <w:szCs w:val="24"/>
        </w:rPr>
      </w:pPr>
      <w:r>
        <w:rPr>
          <w:sz w:val="24"/>
          <w:szCs w:val="24"/>
        </w:rPr>
        <w:t>Application systems will only remain open between 13.03.2024 and 01.04.2024.</w:t>
      </w:r>
    </w:p>
    <w:p w:rsidR="00A83B33" w:rsidRDefault="00A83B33">
      <w:pPr>
        <w:jc w:val="both"/>
        <w:rPr>
          <w:sz w:val="24"/>
          <w:szCs w:val="24"/>
        </w:rPr>
      </w:pPr>
    </w:p>
    <w:p w:rsidR="00A83B33" w:rsidRDefault="00FC0D84">
      <w:pPr>
        <w:jc w:val="both"/>
        <w:rPr>
          <w:sz w:val="24"/>
          <w:szCs w:val="24"/>
        </w:rPr>
      </w:pPr>
      <w:r>
        <w:rPr>
          <w:b/>
          <w:sz w:val="24"/>
          <w:szCs w:val="24"/>
        </w:rPr>
        <w:t xml:space="preserve">Complete application </w:t>
      </w:r>
      <w:proofErr w:type="gramStart"/>
      <w:r>
        <w:rPr>
          <w:b/>
          <w:sz w:val="24"/>
          <w:szCs w:val="24"/>
        </w:rPr>
        <w:t>" button</w:t>
      </w:r>
      <w:proofErr w:type="gramEnd"/>
      <w:r>
        <w:rPr>
          <w:b/>
          <w:sz w:val="24"/>
          <w:szCs w:val="24"/>
        </w:rPr>
        <w:t xml:space="preserve"> </w:t>
      </w:r>
      <w:r>
        <w:rPr>
          <w:sz w:val="24"/>
          <w:szCs w:val="24"/>
        </w:rPr>
        <w:t xml:space="preserve">on the UA Application portal . Applications that </w:t>
      </w:r>
      <w:proofErr w:type="gramStart"/>
      <w:r>
        <w:rPr>
          <w:sz w:val="24"/>
          <w:szCs w:val="24"/>
        </w:rPr>
        <w:t>are not finalized</w:t>
      </w:r>
      <w:proofErr w:type="gramEnd"/>
      <w:r>
        <w:rPr>
          <w:sz w:val="24"/>
          <w:szCs w:val="24"/>
        </w:rPr>
        <w:t xml:space="preserve"> will be deemed invalid.</w:t>
      </w:r>
    </w:p>
    <w:p w:rsidR="00A83B33" w:rsidRDefault="00A83B33">
      <w:pPr>
        <w:jc w:val="both"/>
        <w:rPr>
          <w:sz w:val="24"/>
          <w:szCs w:val="24"/>
        </w:rPr>
      </w:pPr>
    </w:p>
    <w:p w:rsidR="00A83B33" w:rsidRDefault="00FC0D84">
      <w:pPr>
        <w:jc w:val="both"/>
        <w:rPr>
          <w:b/>
          <w:color w:val="366091"/>
          <w:sz w:val="24"/>
          <w:szCs w:val="24"/>
        </w:rPr>
      </w:pPr>
      <w:r>
        <w:rPr>
          <w:b/>
          <w:color w:val="366091"/>
          <w:sz w:val="24"/>
          <w:szCs w:val="24"/>
        </w:rPr>
        <w:t>Evaluation;</w:t>
      </w:r>
    </w:p>
    <w:p w:rsidR="00A83B33" w:rsidRDefault="00A83B33">
      <w:pPr>
        <w:jc w:val="both"/>
        <w:rPr>
          <w:b/>
          <w:sz w:val="24"/>
          <w:szCs w:val="24"/>
        </w:rPr>
      </w:pPr>
    </w:p>
    <w:p w:rsidR="00A83B33" w:rsidRDefault="00FC0D84">
      <w:pPr>
        <w:jc w:val="both"/>
        <w:rPr>
          <w:sz w:val="24"/>
          <w:szCs w:val="24"/>
        </w:rPr>
      </w:pPr>
      <w:r>
        <w:rPr>
          <w:b/>
          <w:sz w:val="24"/>
          <w:szCs w:val="24"/>
        </w:rPr>
        <w:t xml:space="preserve">The Erasmus Score </w:t>
      </w:r>
      <w:r>
        <w:rPr>
          <w:sz w:val="24"/>
          <w:szCs w:val="24"/>
        </w:rPr>
        <w:t xml:space="preserve">of students who meet the minimum requirements and pass the language exam </w:t>
      </w:r>
      <w:proofErr w:type="gramStart"/>
      <w:r>
        <w:rPr>
          <w:sz w:val="24"/>
          <w:szCs w:val="24"/>
        </w:rPr>
        <w:t>is calculated</w:t>
      </w:r>
      <w:proofErr w:type="gramEnd"/>
      <w:r>
        <w:rPr>
          <w:sz w:val="24"/>
          <w:szCs w:val="24"/>
        </w:rPr>
        <w:t xml:space="preserve"> by adding half of the GPA in the 100-point system and half of the language score.</w:t>
      </w:r>
    </w:p>
    <w:p w:rsidR="00A83B33" w:rsidRDefault="00A83B33">
      <w:pPr>
        <w:rPr>
          <w:b/>
          <w:sz w:val="24"/>
          <w:szCs w:val="24"/>
        </w:rPr>
      </w:pPr>
    </w:p>
    <w:p w:rsidR="003756A3" w:rsidRDefault="003756A3">
      <w:pPr>
        <w:rPr>
          <w:b/>
          <w:sz w:val="24"/>
          <w:szCs w:val="24"/>
        </w:rPr>
      </w:pPr>
    </w:p>
    <w:p w:rsidR="003756A3" w:rsidRDefault="003756A3">
      <w:pPr>
        <w:rPr>
          <w:b/>
          <w:sz w:val="24"/>
          <w:szCs w:val="24"/>
        </w:rPr>
      </w:pPr>
    </w:p>
    <w:p w:rsidR="003756A3" w:rsidRDefault="003756A3">
      <w:pPr>
        <w:rPr>
          <w:b/>
          <w:sz w:val="24"/>
          <w:szCs w:val="24"/>
        </w:rPr>
      </w:pPr>
    </w:p>
    <w:p w:rsidR="00644028" w:rsidRDefault="00644028">
      <w:pPr>
        <w:rPr>
          <w:b/>
          <w:sz w:val="24"/>
          <w:szCs w:val="24"/>
        </w:rPr>
      </w:pPr>
    </w:p>
    <w:p w:rsidR="00644028" w:rsidRDefault="00644028">
      <w:pPr>
        <w:rPr>
          <w:b/>
          <w:sz w:val="24"/>
          <w:szCs w:val="24"/>
        </w:rPr>
      </w:pPr>
    </w:p>
    <w:p w:rsidR="00A83B33" w:rsidRDefault="00FC0D84">
      <w:pPr>
        <w:rPr>
          <w:b/>
          <w:sz w:val="24"/>
          <w:szCs w:val="24"/>
        </w:rPr>
      </w:pPr>
      <w:r>
        <w:rPr>
          <w:b/>
          <w:sz w:val="24"/>
          <w:szCs w:val="24"/>
        </w:rPr>
        <w:t>All criteria are as follows:</w:t>
      </w:r>
    </w:p>
    <w:p w:rsidR="00A83B33" w:rsidRDefault="00A83B33">
      <w:pPr>
        <w:rPr>
          <w:b/>
          <w:sz w:val="24"/>
          <w:szCs w:val="24"/>
        </w:rPr>
      </w:pPr>
    </w:p>
    <w:tbl>
      <w:tblPr>
        <w:tblStyle w:val="a3"/>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5"/>
        <w:gridCol w:w="2745"/>
      </w:tblGrid>
      <w:tr w:rsidR="00A83B33">
        <w:tc>
          <w:tcPr>
            <w:tcW w:w="6645" w:type="dxa"/>
            <w:shd w:val="clear" w:color="auto" w:fill="95B3D7"/>
            <w:tcMar>
              <w:top w:w="100" w:type="dxa"/>
              <w:left w:w="100" w:type="dxa"/>
              <w:bottom w:w="100" w:type="dxa"/>
              <w:right w:w="100" w:type="dxa"/>
            </w:tcMar>
          </w:tcPr>
          <w:p w:rsidR="00A83B33" w:rsidRDefault="00FC0D84">
            <w:pPr>
              <w:rPr>
                <w:b/>
                <w:color w:val="FFFFFF"/>
                <w:sz w:val="24"/>
                <w:szCs w:val="24"/>
              </w:rPr>
            </w:pPr>
            <w:r>
              <w:rPr>
                <w:b/>
                <w:color w:val="FFFFFF"/>
                <w:sz w:val="24"/>
                <w:szCs w:val="24"/>
              </w:rPr>
              <w:t>criterion</w:t>
            </w:r>
          </w:p>
        </w:tc>
        <w:tc>
          <w:tcPr>
            <w:tcW w:w="2745" w:type="dxa"/>
            <w:shd w:val="clear" w:color="auto" w:fill="95B3D7"/>
            <w:tcMar>
              <w:top w:w="100" w:type="dxa"/>
              <w:left w:w="100" w:type="dxa"/>
              <w:bottom w:w="100" w:type="dxa"/>
              <w:right w:w="100" w:type="dxa"/>
            </w:tcMar>
          </w:tcPr>
          <w:p w:rsidR="00A83B33" w:rsidRDefault="00FC0D84">
            <w:pPr>
              <w:widowControl w:val="0"/>
              <w:rPr>
                <w:b/>
                <w:color w:val="FFFFFF"/>
                <w:sz w:val="24"/>
                <w:szCs w:val="24"/>
              </w:rPr>
            </w:pPr>
            <w:r>
              <w:rPr>
                <w:b/>
                <w:color w:val="FFFFFF"/>
                <w:sz w:val="24"/>
                <w:szCs w:val="24"/>
              </w:rPr>
              <w:t>Weighted Score</w:t>
            </w:r>
          </w:p>
        </w:tc>
      </w:tr>
      <w:tr w:rsidR="00A83B33">
        <w:trPr>
          <w:trHeight w:val="405"/>
        </w:trPr>
        <w:tc>
          <w:tcPr>
            <w:tcW w:w="6645" w:type="dxa"/>
            <w:shd w:val="clear" w:color="auto" w:fill="auto"/>
            <w:tcMar>
              <w:top w:w="100" w:type="dxa"/>
              <w:left w:w="100" w:type="dxa"/>
              <w:bottom w:w="100" w:type="dxa"/>
              <w:right w:w="100" w:type="dxa"/>
            </w:tcMar>
          </w:tcPr>
          <w:p w:rsidR="00A83B33" w:rsidRDefault="00FC0D84">
            <w:pPr>
              <w:rPr>
                <w:b/>
                <w:sz w:val="24"/>
                <w:szCs w:val="24"/>
              </w:rPr>
            </w:pPr>
            <w:r>
              <w:rPr>
                <w:sz w:val="24"/>
                <w:szCs w:val="24"/>
              </w:rPr>
              <w:t>Academic success level</w:t>
            </w:r>
          </w:p>
        </w:tc>
        <w:tc>
          <w:tcPr>
            <w:tcW w:w="2745" w:type="dxa"/>
            <w:shd w:val="clear" w:color="auto" w:fill="auto"/>
            <w:tcMar>
              <w:top w:w="100" w:type="dxa"/>
              <w:left w:w="100" w:type="dxa"/>
              <w:bottom w:w="100" w:type="dxa"/>
              <w:right w:w="100" w:type="dxa"/>
            </w:tcMar>
          </w:tcPr>
          <w:p w:rsidR="00A83B33" w:rsidRDefault="00FC0D84">
            <w:pPr>
              <w:widowControl w:val="0"/>
              <w:rPr>
                <w:b/>
                <w:sz w:val="24"/>
                <w:szCs w:val="24"/>
              </w:rPr>
            </w:pPr>
            <w:r>
              <w:rPr>
                <w:sz w:val="24"/>
                <w:szCs w:val="24"/>
              </w:rPr>
              <w:t>50% (out of 100)</w:t>
            </w:r>
          </w:p>
        </w:tc>
      </w:tr>
      <w:tr w:rsidR="00A83B33">
        <w:trPr>
          <w:trHeight w:val="275"/>
        </w:trPr>
        <w:tc>
          <w:tcPr>
            <w:tcW w:w="6645" w:type="dxa"/>
            <w:shd w:val="clear" w:color="auto" w:fill="DBE5F1"/>
            <w:tcMar>
              <w:top w:w="100" w:type="dxa"/>
              <w:left w:w="100" w:type="dxa"/>
              <w:bottom w:w="100" w:type="dxa"/>
              <w:right w:w="100" w:type="dxa"/>
            </w:tcMar>
          </w:tcPr>
          <w:p w:rsidR="00A83B33" w:rsidRDefault="00FC0D84">
            <w:pPr>
              <w:widowControl w:val="0"/>
              <w:rPr>
                <w:b/>
                <w:sz w:val="24"/>
                <w:szCs w:val="24"/>
              </w:rPr>
            </w:pPr>
            <w:r>
              <w:rPr>
                <w:sz w:val="24"/>
                <w:szCs w:val="24"/>
              </w:rPr>
              <w:t>Language level</w:t>
            </w:r>
          </w:p>
        </w:tc>
        <w:tc>
          <w:tcPr>
            <w:tcW w:w="2745" w:type="dxa"/>
            <w:shd w:val="clear" w:color="auto" w:fill="DBE5F1"/>
            <w:tcMar>
              <w:top w:w="100" w:type="dxa"/>
              <w:left w:w="100" w:type="dxa"/>
              <w:bottom w:w="100" w:type="dxa"/>
              <w:right w:w="100" w:type="dxa"/>
            </w:tcMar>
          </w:tcPr>
          <w:p w:rsidR="00A83B33" w:rsidRDefault="00FC0D84">
            <w:pPr>
              <w:widowControl w:val="0"/>
              <w:rPr>
                <w:b/>
                <w:sz w:val="24"/>
                <w:szCs w:val="24"/>
              </w:rPr>
            </w:pPr>
            <w:r>
              <w:rPr>
                <w:sz w:val="24"/>
                <w:szCs w:val="24"/>
              </w:rPr>
              <w:t>50% (out of 100)</w:t>
            </w:r>
          </w:p>
        </w:tc>
      </w:tr>
      <w:tr w:rsidR="00A83B33">
        <w:trPr>
          <w:trHeight w:val="215"/>
        </w:trPr>
        <w:tc>
          <w:tcPr>
            <w:tcW w:w="6645" w:type="dxa"/>
            <w:shd w:val="clear" w:color="auto" w:fill="auto"/>
            <w:tcMar>
              <w:top w:w="100" w:type="dxa"/>
              <w:left w:w="100" w:type="dxa"/>
              <w:bottom w:w="100" w:type="dxa"/>
              <w:right w:w="100" w:type="dxa"/>
            </w:tcMar>
          </w:tcPr>
          <w:p w:rsidR="00A83B33" w:rsidRDefault="00FC0D84">
            <w:pPr>
              <w:widowControl w:val="0"/>
              <w:rPr>
                <w:b/>
                <w:sz w:val="24"/>
                <w:szCs w:val="24"/>
              </w:rPr>
            </w:pPr>
            <w:r>
              <w:rPr>
                <w:sz w:val="24"/>
                <w:szCs w:val="24"/>
              </w:rPr>
              <w:t>Children of martyrs and veterans</w:t>
            </w:r>
          </w:p>
        </w:tc>
        <w:tc>
          <w:tcPr>
            <w:tcW w:w="2745" w:type="dxa"/>
            <w:shd w:val="clear" w:color="auto" w:fill="auto"/>
            <w:tcMar>
              <w:top w:w="100" w:type="dxa"/>
              <w:left w:w="100" w:type="dxa"/>
              <w:bottom w:w="100" w:type="dxa"/>
              <w:right w:w="100" w:type="dxa"/>
            </w:tcMar>
          </w:tcPr>
          <w:p w:rsidR="00A83B33" w:rsidRDefault="00FC0D84">
            <w:pPr>
              <w:widowControl w:val="0"/>
              <w:rPr>
                <w:b/>
                <w:sz w:val="24"/>
                <w:szCs w:val="24"/>
              </w:rPr>
            </w:pPr>
            <w:r>
              <w:rPr>
                <w:sz w:val="24"/>
                <w:szCs w:val="24"/>
              </w:rPr>
              <w:t>+15 points</w:t>
            </w:r>
          </w:p>
        </w:tc>
      </w:tr>
      <w:tr w:rsidR="00A83B33">
        <w:tc>
          <w:tcPr>
            <w:tcW w:w="6645" w:type="dxa"/>
            <w:shd w:val="clear" w:color="auto" w:fill="DBE5F1"/>
            <w:tcMar>
              <w:top w:w="100" w:type="dxa"/>
              <w:left w:w="100" w:type="dxa"/>
              <w:bottom w:w="100" w:type="dxa"/>
              <w:right w:w="100" w:type="dxa"/>
            </w:tcMar>
          </w:tcPr>
          <w:p w:rsidR="00A83B33" w:rsidRDefault="00FC0D84">
            <w:pPr>
              <w:widowControl w:val="0"/>
              <w:rPr>
                <w:b/>
                <w:sz w:val="24"/>
                <w:szCs w:val="24"/>
              </w:rPr>
            </w:pPr>
            <w:r>
              <w:rPr>
                <w:sz w:val="24"/>
                <w:szCs w:val="24"/>
              </w:rPr>
              <w:t>Disabled students (provided that the disability is documented)</w:t>
            </w:r>
          </w:p>
        </w:tc>
        <w:tc>
          <w:tcPr>
            <w:tcW w:w="2745" w:type="dxa"/>
            <w:shd w:val="clear" w:color="auto" w:fill="DBE5F1"/>
            <w:tcMar>
              <w:top w:w="100" w:type="dxa"/>
              <w:left w:w="100" w:type="dxa"/>
              <w:bottom w:w="100" w:type="dxa"/>
              <w:right w:w="100" w:type="dxa"/>
            </w:tcMar>
          </w:tcPr>
          <w:p w:rsidR="00A83B33" w:rsidRDefault="00FC0D84">
            <w:pPr>
              <w:widowControl w:val="0"/>
              <w:rPr>
                <w:b/>
                <w:sz w:val="24"/>
                <w:szCs w:val="24"/>
              </w:rPr>
            </w:pPr>
            <w:r>
              <w:rPr>
                <w:sz w:val="24"/>
                <w:szCs w:val="24"/>
              </w:rPr>
              <w:t>+10 points</w:t>
            </w:r>
          </w:p>
        </w:tc>
      </w:tr>
      <w:tr w:rsidR="00A83B33">
        <w:tc>
          <w:tcPr>
            <w:tcW w:w="6645" w:type="dxa"/>
            <w:shd w:val="clear" w:color="auto" w:fill="auto"/>
            <w:tcMar>
              <w:top w:w="100" w:type="dxa"/>
              <w:left w:w="100" w:type="dxa"/>
              <w:bottom w:w="100" w:type="dxa"/>
              <w:right w:w="100" w:type="dxa"/>
            </w:tcMar>
          </w:tcPr>
          <w:p w:rsidR="00A83B33" w:rsidRDefault="00FC0D84">
            <w:pPr>
              <w:widowControl w:val="0"/>
              <w:rPr>
                <w:b/>
                <w:sz w:val="24"/>
                <w:szCs w:val="24"/>
              </w:rPr>
            </w:pPr>
            <w:r>
              <w:rPr>
                <w:sz w:val="24"/>
                <w:szCs w:val="24"/>
              </w:rPr>
              <w:t>Students for whom protection, care or accommodation decisions have been made within the scope of the Social Services Law No. 2828 and the Child Protection Law No. 5395</w:t>
            </w:r>
          </w:p>
        </w:tc>
        <w:tc>
          <w:tcPr>
            <w:tcW w:w="2745" w:type="dxa"/>
            <w:shd w:val="clear" w:color="auto" w:fill="auto"/>
            <w:tcMar>
              <w:top w:w="100" w:type="dxa"/>
              <w:left w:w="100" w:type="dxa"/>
              <w:bottom w:w="100" w:type="dxa"/>
              <w:right w:w="100" w:type="dxa"/>
            </w:tcMar>
          </w:tcPr>
          <w:p w:rsidR="00A83B33" w:rsidRDefault="00FC0D84">
            <w:pPr>
              <w:widowControl w:val="0"/>
              <w:rPr>
                <w:b/>
                <w:sz w:val="24"/>
                <w:szCs w:val="24"/>
              </w:rPr>
            </w:pPr>
            <w:r>
              <w:rPr>
                <w:sz w:val="24"/>
                <w:szCs w:val="24"/>
              </w:rPr>
              <w:t>+10 points</w:t>
            </w:r>
          </w:p>
        </w:tc>
      </w:tr>
      <w:tr w:rsidR="00A83B33">
        <w:trPr>
          <w:trHeight w:val="460"/>
        </w:trPr>
        <w:tc>
          <w:tcPr>
            <w:tcW w:w="6645" w:type="dxa"/>
            <w:shd w:val="clear" w:color="auto" w:fill="DBE5F1"/>
            <w:tcMar>
              <w:top w:w="100" w:type="dxa"/>
              <w:left w:w="100" w:type="dxa"/>
              <w:bottom w:w="100" w:type="dxa"/>
              <w:right w:w="100" w:type="dxa"/>
            </w:tcMar>
          </w:tcPr>
          <w:p w:rsidR="00A83B33" w:rsidRDefault="00FC0D84">
            <w:pPr>
              <w:widowControl w:val="0"/>
              <w:rPr>
                <w:b/>
                <w:sz w:val="24"/>
                <w:szCs w:val="24"/>
              </w:rPr>
            </w:pPr>
            <w:r>
              <w:t>Those who themselves or their first degree relatives receive disaster victim assistance from AFAD</w:t>
            </w:r>
          </w:p>
        </w:tc>
        <w:tc>
          <w:tcPr>
            <w:tcW w:w="2745" w:type="dxa"/>
            <w:shd w:val="clear" w:color="auto" w:fill="DBE5F1"/>
            <w:tcMar>
              <w:top w:w="100" w:type="dxa"/>
              <w:left w:w="100" w:type="dxa"/>
              <w:bottom w:w="100" w:type="dxa"/>
              <w:right w:w="100" w:type="dxa"/>
            </w:tcMar>
          </w:tcPr>
          <w:p w:rsidR="00A83B33" w:rsidRDefault="00FC0D84">
            <w:pPr>
              <w:widowControl w:val="0"/>
              <w:rPr>
                <w:b/>
                <w:sz w:val="24"/>
                <w:szCs w:val="24"/>
              </w:rPr>
            </w:pPr>
            <w:r>
              <w:rPr>
                <w:sz w:val="24"/>
                <w:szCs w:val="24"/>
              </w:rPr>
              <w:t>+10 points</w:t>
            </w:r>
          </w:p>
        </w:tc>
      </w:tr>
      <w:tr w:rsidR="00A83B33">
        <w:trPr>
          <w:trHeight w:val="110"/>
        </w:trPr>
        <w:tc>
          <w:tcPr>
            <w:tcW w:w="6645" w:type="dxa"/>
            <w:shd w:val="clear" w:color="auto" w:fill="auto"/>
            <w:tcMar>
              <w:top w:w="100" w:type="dxa"/>
              <w:left w:w="100" w:type="dxa"/>
              <w:bottom w:w="100" w:type="dxa"/>
              <w:right w:w="100" w:type="dxa"/>
            </w:tcMar>
          </w:tcPr>
          <w:p w:rsidR="00A83B33" w:rsidRDefault="00FC0D84">
            <w:pPr>
              <w:widowControl w:val="0"/>
              <w:rPr>
                <w:b/>
                <w:sz w:val="24"/>
                <w:szCs w:val="24"/>
              </w:rPr>
            </w:pPr>
            <w:r>
              <w:rPr>
                <w:sz w:val="24"/>
                <w:szCs w:val="24"/>
              </w:rPr>
              <w:t>Previous benefit (with or without grant)</w:t>
            </w:r>
          </w:p>
        </w:tc>
        <w:tc>
          <w:tcPr>
            <w:tcW w:w="2745" w:type="dxa"/>
            <w:shd w:val="clear" w:color="auto" w:fill="auto"/>
            <w:tcMar>
              <w:top w:w="100" w:type="dxa"/>
              <w:left w:w="100" w:type="dxa"/>
              <w:bottom w:w="100" w:type="dxa"/>
              <w:right w:w="100" w:type="dxa"/>
            </w:tcMar>
          </w:tcPr>
          <w:p w:rsidR="00A83B33" w:rsidRDefault="00FC0D84">
            <w:pPr>
              <w:widowControl w:val="0"/>
              <w:rPr>
                <w:b/>
                <w:sz w:val="24"/>
                <w:szCs w:val="24"/>
              </w:rPr>
            </w:pPr>
            <w:r>
              <w:rPr>
                <w:sz w:val="24"/>
                <w:szCs w:val="24"/>
              </w:rPr>
              <w:t>-10 points</w:t>
            </w:r>
          </w:p>
        </w:tc>
      </w:tr>
      <w:tr w:rsidR="00A83B33">
        <w:trPr>
          <w:trHeight w:val="191"/>
        </w:trPr>
        <w:tc>
          <w:tcPr>
            <w:tcW w:w="6645" w:type="dxa"/>
            <w:shd w:val="clear" w:color="auto" w:fill="DBE5F1"/>
            <w:tcMar>
              <w:top w:w="100" w:type="dxa"/>
              <w:left w:w="100" w:type="dxa"/>
              <w:bottom w:w="100" w:type="dxa"/>
              <w:right w:w="100" w:type="dxa"/>
            </w:tcMar>
          </w:tcPr>
          <w:p w:rsidR="00A83B33" w:rsidRDefault="00FC0D84">
            <w:pPr>
              <w:widowControl w:val="0"/>
              <w:rPr>
                <w:b/>
                <w:sz w:val="24"/>
                <w:szCs w:val="24"/>
              </w:rPr>
            </w:pPr>
            <w:r>
              <w:rPr>
                <w:sz w:val="24"/>
                <w:szCs w:val="24"/>
              </w:rPr>
              <w:t>Not participating in the mobility without giving notice of waiver in due time despite being selected for the mobility</w:t>
            </w:r>
          </w:p>
        </w:tc>
        <w:tc>
          <w:tcPr>
            <w:tcW w:w="2745" w:type="dxa"/>
            <w:shd w:val="clear" w:color="auto" w:fill="DBE5F1"/>
            <w:tcMar>
              <w:top w:w="100" w:type="dxa"/>
              <w:left w:w="100" w:type="dxa"/>
              <w:bottom w:w="100" w:type="dxa"/>
              <w:right w:w="100" w:type="dxa"/>
            </w:tcMar>
          </w:tcPr>
          <w:p w:rsidR="00A83B33" w:rsidRDefault="00FC0D84">
            <w:pPr>
              <w:widowControl w:val="0"/>
              <w:rPr>
                <w:b/>
                <w:sz w:val="24"/>
                <w:szCs w:val="24"/>
              </w:rPr>
            </w:pPr>
            <w:r>
              <w:rPr>
                <w:sz w:val="24"/>
                <w:szCs w:val="24"/>
              </w:rPr>
              <w:t>- 10 points</w:t>
            </w:r>
          </w:p>
        </w:tc>
      </w:tr>
      <w:tr w:rsidR="00A83B33">
        <w:tc>
          <w:tcPr>
            <w:tcW w:w="6645" w:type="dxa"/>
            <w:shd w:val="clear" w:color="auto" w:fill="auto"/>
            <w:tcMar>
              <w:top w:w="100" w:type="dxa"/>
              <w:left w:w="100" w:type="dxa"/>
              <w:bottom w:w="100" w:type="dxa"/>
              <w:right w:w="100" w:type="dxa"/>
            </w:tcMar>
          </w:tcPr>
          <w:p w:rsidR="00A83B33" w:rsidRDefault="00FC0D84">
            <w:pPr>
              <w:rPr>
                <w:b/>
                <w:sz w:val="24"/>
                <w:szCs w:val="24"/>
              </w:rPr>
            </w:pPr>
            <w:r>
              <w:rPr>
                <w:sz w:val="24"/>
                <w:szCs w:val="24"/>
              </w:rPr>
              <w:t>Participating in mobility in the country of citizenship</w:t>
            </w:r>
          </w:p>
        </w:tc>
        <w:tc>
          <w:tcPr>
            <w:tcW w:w="2745" w:type="dxa"/>
            <w:shd w:val="clear" w:color="auto" w:fill="auto"/>
            <w:tcMar>
              <w:top w:w="100" w:type="dxa"/>
              <w:left w:w="100" w:type="dxa"/>
              <w:bottom w:w="100" w:type="dxa"/>
              <w:right w:w="100" w:type="dxa"/>
            </w:tcMar>
          </w:tcPr>
          <w:p w:rsidR="00A83B33" w:rsidRDefault="00FC0D84">
            <w:pPr>
              <w:widowControl w:val="0"/>
              <w:rPr>
                <w:b/>
                <w:sz w:val="24"/>
                <w:szCs w:val="24"/>
              </w:rPr>
            </w:pPr>
            <w:r>
              <w:rPr>
                <w:sz w:val="24"/>
                <w:szCs w:val="24"/>
              </w:rPr>
              <w:t>-10 points</w:t>
            </w:r>
          </w:p>
        </w:tc>
      </w:tr>
      <w:tr w:rsidR="00A83B33">
        <w:trPr>
          <w:trHeight w:val="902"/>
        </w:trPr>
        <w:tc>
          <w:tcPr>
            <w:tcW w:w="6645" w:type="dxa"/>
            <w:shd w:val="clear" w:color="auto" w:fill="DBE5F1"/>
            <w:tcMar>
              <w:top w:w="100" w:type="dxa"/>
              <w:left w:w="100" w:type="dxa"/>
              <w:bottom w:w="100" w:type="dxa"/>
              <w:right w:w="100" w:type="dxa"/>
            </w:tcMar>
          </w:tcPr>
          <w:p w:rsidR="00A83B33" w:rsidRDefault="00FC0D84">
            <w:pPr>
              <w:widowControl w:val="0"/>
              <w:rPr>
                <w:b/>
                <w:sz w:val="24"/>
                <w:szCs w:val="24"/>
              </w:rPr>
            </w:pPr>
            <w:r>
              <w:rPr>
                <w:sz w:val="24"/>
                <w:szCs w:val="24"/>
              </w:rPr>
              <w:t>Applying for two types of mobility at the same time (reduction is applied to the type of mobility preferred by the student)</w:t>
            </w:r>
          </w:p>
        </w:tc>
        <w:tc>
          <w:tcPr>
            <w:tcW w:w="2745" w:type="dxa"/>
            <w:shd w:val="clear" w:color="auto" w:fill="DBE5F1"/>
            <w:tcMar>
              <w:top w:w="100" w:type="dxa"/>
              <w:left w:w="100" w:type="dxa"/>
              <w:bottom w:w="100" w:type="dxa"/>
              <w:right w:w="100" w:type="dxa"/>
            </w:tcMar>
          </w:tcPr>
          <w:p w:rsidR="00A83B33" w:rsidRDefault="00FC0D84">
            <w:pPr>
              <w:widowControl w:val="0"/>
              <w:rPr>
                <w:b/>
                <w:sz w:val="24"/>
                <w:szCs w:val="24"/>
              </w:rPr>
            </w:pPr>
            <w:r>
              <w:rPr>
                <w:sz w:val="24"/>
                <w:szCs w:val="24"/>
              </w:rPr>
              <w:t>-10 points</w:t>
            </w:r>
          </w:p>
        </w:tc>
      </w:tr>
      <w:tr w:rsidR="00A83B33">
        <w:tc>
          <w:tcPr>
            <w:tcW w:w="6645" w:type="dxa"/>
            <w:shd w:val="clear" w:color="auto" w:fill="auto"/>
            <w:tcMar>
              <w:top w:w="100" w:type="dxa"/>
              <w:left w:w="100" w:type="dxa"/>
              <w:bottom w:w="100" w:type="dxa"/>
              <w:right w:w="100" w:type="dxa"/>
            </w:tcMar>
          </w:tcPr>
          <w:p w:rsidR="00A83B33" w:rsidRDefault="00FC0D84">
            <w:pPr>
              <w:widowControl w:val="0"/>
              <w:rPr>
                <w:b/>
                <w:sz w:val="24"/>
                <w:szCs w:val="24"/>
              </w:rPr>
            </w:pPr>
            <w:r>
              <w:rPr>
                <w:sz w:val="24"/>
                <w:szCs w:val="24"/>
              </w:rPr>
              <w:t>For students selected for mobility: Failure to attend meetings/trainings organized by the higher education institution regarding mobility without an excuse (applicable if the student re-applies to Erasmus).</w:t>
            </w:r>
          </w:p>
        </w:tc>
        <w:tc>
          <w:tcPr>
            <w:tcW w:w="2745" w:type="dxa"/>
            <w:shd w:val="clear" w:color="auto" w:fill="auto"/>
            <w:tcMar>
              <w:top w:w="100" w:type="dxa"/>
              <w:left w:w="100" w:type="dxa"/>
              <w:bottom w:w="100" w:type="dxa"/>
              <w:right w:w="100" w:type="dxa"/>
            </w:tcMar>
          </w:tcPr>
          <w:p w:rsidR="00A83B33" w:rsidRDefault="00FC0D84">
            <w:pPr>
              <w:widowControl w:val="0"/>
              <w:rPr>
                <w:b/>
                <w:sz w:val="24"/>
                <w:szCs w:val="24"/>
              </w:rPr>
            </w:pPr>
            <w:r>
              <w:rPr>
                <w:sz w:val="24"/>
                <w:szCs w:val="24"/>
              </w:rPr>
              <w:t>-5 points</w:t>
            </w:r>
          </w:p>
        </w:tc>
      </w:tr>
      <w:tr w:rsidR="00A83B33">
        <w:tc>
          <w:tcPr>
            <w:tcW w:w="6645" w:type="dxa"/>
            <w:shd w:val="clear" w:color="auto" w:fill="DBE5F1"/>
            <w:tcMar>
              <w:top w:w="100" w:type="dxa"/>
              <w:left w:w="100" w:type="dxa"/>
              <w:bottom w:w="100" w:type="dxa"/>
              <w:right w:w="100" w:type="dxa"/>
            </w:tcMar>
          </w:tcPr>
          <w:p w:rsidR="00A83B33" w:rsidRDefault="00FC0D84">
            <w:pPr>
              <w:widowControl w:val="0"/>
              <w:rPr>
                <w:b/>
                <w:sz w:val="24"/>
                <w:szCs w:val="24"/>
              </w:rPr>
            </w:pPr>
            <w:r>
              <w:rPr>
                <w:sz w:val="24"/>
                <w:szCs w:val="24"/>
              </w:rPr>
              <w:t>Declaring that he will take the language exam and not taking it without an excuse (applicable if the student re-applies to Erasmus</w:t>
            </w:r>
          </w:p>
        </w:tc>
        <w:tc>
          <w:tcPr>
            <w:tcW w:w="2745" w:type="dxa"/>
            <w:shd w:val="clear" w:color="auto" w:fill="DBE5F1"/>
            <w:tcMar>
              <w:top w:w="100" w:type="dxa"/>
              <w:left w:w="100" w:type="dxa"/>
              <w:bottom w:w="100" w:type="dxa"/>
              <w:right w:w="100" w:type="dxa"/>
            </w:tcMar>
          </w:tcPr>
          <w:p w:rsidR="00A83B33" w:rsidRDefault="00FC0D84">
            <w:pPr>
              <w:widowControl w:val="0"/>
              <w:rPr>
                <w:sz w:val="24"/>
                <w:szCs w:val="24"/>
              </w:rPr>
            </w:pPr>
            <w:r>
              <w:rPr>
                <w:sz w:val="24"/>
                <w:szCs w:val="24"/>
              </w:rPr>
              <w:t>-5 points</w:t>
            </w:r>
          </w:p>
          <w:p w:rsidR="00A83B33" w:rsidRDefault="00A83B33">
            <w:pPr>
              <w:widowControl w:val="0"/>
              <w:rPr>
                <w:sz w:val="24"/>
                <w:szCs w:val="24"/>
              </w:rPr>
            </w:pPr>
          </w:p>
        </w:tc>
      </w:tr>
    </w:tbl>
    <w:p w:rsidR="00A83B33" w:rsidRDefault="00A83B33">
      <w:pPr>
        <w:rPr>
          <w:b/>
          <w:sz w:val="24"/>
          <w:szCs w:val="24"/>
        </w:rPr>
      </w:pPr>
    </w:p>
    <w:p w:rsidR="00A83B33" w:rsidRDefault="00FC0D84">
      <w:pPr>
        <w:jc w:val="both"/>
        <w:rPr>
          <w:sz w:val="24"/>
          <w:szCs w:val="24"/>
        </w:rPr>
      </w:pPr>
      <w:r>
        <w:rPr>
          <w:sz w:val="24"/>
          <w:szCs w:val="24"/>
        </w:rPr>
        <w:t xml:space="preserve">Students for whom Erasmus scores are generated are ranked from highest score to lowest score </w:t>
      </w:r>
      <w:proofErr w:type="gramStart"/>
      <w:r>
        <w:rPr>
          <w:sz w:val="24"/>
          <w:szCs w:val="24"/>
        </w:rPr>
        <w:t>on the basis of</w:t>
      </w:r>
      <w:proofErr w:type="gramEnd"/>
      <w:r>
        <w:rPr>
          <w:sz w:val="24"/>
          <w:szCs w:val="24"/>
        </w:rPr>
        <w:t xml:space="preserve"> department/program; They are placed according to the partner university preferences specified in the application and the quotas of the partner universities.</w:t>
      </w:r>
    </w:p>
    <w:p w:rsidR="00A83B33" w:rsidRDefault="00A83B33">
      <w:pPr>
        <w:jc w:val="both"/>
        <w:rPr>
          <w:sz w:val="24"/>
          <w:szCs w:val="24"/>
        </w:rPr>
      </w:pPr>
    </w:p>
    <w:p w:rsidR="00644028" w:rsidRDefault="00644028">
      <w:pPr>
        <w:jc w:val="both"/>
        <w:rPr>
          <w:sz w:val="24"/>
          <w:szCs w:val="24"/>
        </w:rPr>
      </w:pPr>
    </w:p>
    <w:p w:rsidR="00644028" w:rsidRDefault="00644028">
      <w:pPr>
        <w:jc w:val="both"/>
        <w:rPr>
          <w:sz w:val="24"/>
          <w:szCs w:val="24"/>
        </w:rPr>
      </w:pPr>
    </w:p>
    <w:p w:rsidR="00644028" w:rsidRDefault="00644028">
      <w:pPr>
        <w:jc w:val="both"/>
        <w:rPr>
          <w:sz w:val="24"/>
          <w:szCs w:val="24"/>
        </w:rPr>
      </w:pPr>
    </w:p>
    <w:p w:rsidR="00A83B33" w:rsidRDefault="00FC0D84">
      <w:pPr>
        <w:rPr>
          <w:b/>
          <w:color w:val="366091"/>
          <w:sz w:val="24"/>
          <w:szCs w:val="24"/>
        </w:rPr>
      </w:pPr>
      <w:r>
        <w:rPr>
          <w:b/>
          <w:color w:val="366091"/>
          <w:sz w:val="24"/>
          <w:szCs w:val="24"/>
        </w:rPr>
        <w:t>Granting</w:t>
      </w:r>
      <w:proofErr w:type="gramStart"/>
      <w:r>
        <w:rPr>
          <w:b/>
          <w:color w:val="366091"/>
          <w:sz w:val="24"/>
          <w:szCs w:val="24"/>
        </w:rPr>
        <w:t>;</w:t>
      </w:r>
      <w:proofErr w:type="gramEnd"/>
    </w:p>
    <w:p w:rsidR="00A83B33" w:rsidRDefault="00A83B33">
      <w:pPr>
        <w:rPr>
          <w:sz w:val="24"/>
          <w:szCs w:val="24"/>
        </w:rPr>
      </w:pPr>
    </w:p>
    <w:tbl>
      <w:tblPr>
        <w:tblStyle w:val="a4"/>
        <w:tblW w:w="9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616"/>
        <w:gridCol w:w="1522"/>
        <w:gridCol w:w="1217"/>
        <w:gridCol w:w="1093"/>
        <w:gridCol w:w="1297"/>
      </w:tblGrid>
      <w:tr w:rsidR="00A83B33">
        <w:trPr>
          <w:cantSplit/>
          <w:trHeight w:val="531"/>
        </w:trPr>
        <w:tc>
          <w:tcPr>
            <w:tcW w:w="1413" w:type="dxa"/>
            <w:shd w:val="clear" w:color="auto" w:fill="95B3D7"/>
            <w:vAlign w:val="center"/>
          </w:tcPr>
          <w:p w:rsidR="00A83B33" w:rsidRDefault="00FC0D84">
            <w:pPr>
              <w:rPr>
                <w:b/>
                <w:color w:val="FFFFFF"/>
                <w:sz w:val="24"/>
                <w:szCs w:val="24"/>
              </w:rPr>
            </w:pPr>
            <w:r>
              <w:rPr>
                <w:b/>
                <w:color w:val="FFFFFF"/>
                <w:sz w:val="24"/>
                <w:szCs w:val="24"/>
              </w:rPr>
              <w:t>Country</w:t>
            </w:r>
          </w:p>
        </w:tc>
        <w:tc>
          <w:tcPr>
            <w:tcW w:w="2616" w:type="dxa"/>
            <w:shd w:val="clear" w:color="auto" w:fill="95B3D7"/>
            <w:vAlign w:val="center"/>
          </w:tcPr>
          <w:p w:rsidR="00A83B33" w:rsidRDefault="00FC0D84">
            <w:pPr>
              <w:jc w:val="both"/>
              <w:rPr>
                <w:b/>
                <w:color w:val="FFFFFF"/>
                <w:sz w:val="24"/>
                <w:szCs w:val="24"/>
              </w:rPr>
            </w:pPr>
            <w:r>
              <w:rPr>
                <w:b/>
                <w:color w:val="FFFFFF"/>
                <w:sz w:val="24"/>
                <w:szCs w:val="24"/>
              </w:rPr>
              <w:t>Section</w:t>
            </w:r>
          </w:p>
        </w:tc>
        <w:tc>
          <w:tcPr>
            <w:tcW w:w="1522" w:type="dxa"/>
            <w:shd w:val="clear" w:color="auto" w:fill="95B3D7"/>
          </w:tcPr>
          <w:p w:rsidR="00A83B33" w:rsidRDefault="00FC0D84">
            <w:pPr>
              <w:jc w:val="both"/>
              <w:rPr>
                <w:b/>
                <w:color w:val="FFFFFF"/>
                <w:sz w:val="24"/>
                <w:szCs w:val="24"/>
              </w:rPr>
            </w:pPr>
            <w:r>
              <w:rPr>
                <w:b/>
                <w:color w:val="FFFFFF"/>
                <w:sz w:val="24"/>
                <w:szCs w:val="24"/>
              </w:rPr>
              <w:t>Grant Quota</w:t>
            </w:r>
          </w:p>
        </w:tc>
        <w:tc>
          <w:tcPr>
            <w:tcW w:w="1217" w:type="dxa"/>
            <w:shd w:val="clear" w:color="auto" w:fill="95B3D7"/>
            <w:vAlign w:val="bottom"/>
          </w:tcPr>
          <w:p w:rsidR="00A83B33" w:rsidRDefault="00FC0D84">
            <w:pPr>
              <w:jc w:val="both"/>
              <w:rPr>
                <w:b/>
                <w:color w:val="FFFFFF"/>
                <w:sz w:val="24"/>
                <w:szCs w:val="24"/>
              </w:rPr>
            </w:pPr>
            <w:r>
              <w:rPr>
                <w:b/>
                <w:color w:val="FFFFFF"/>
                <w:sz w:val="24"/>
                <w:szCs w:val="24"/>
              </w:rPr>
              <w:t>Period**</w:t>
            </w:r>
          </w:p>
        </w:tc>
        <w:tc>
          <w:tcPr>
            <w:tcW w:w="1093" w:type="dxa"/>
            <w:shd w:val="clear" w:color="auto" w:fill="95B3D7"/>
            <w:vAlign w:val="center"/>
          </w:tcPr>
          <w:p w:rsidR="00A83B33" w:rsidRDefault="00FC0D84">
            <w:pPr>
              <w:jc w:val="both"/>
              <w:rPr>
                <w:b/>
                <w:color w:val="FFFFFF"/>
                <w:sz w:val="24"/>
                <w:szCs w:val="24"/>
              </w:rPr>
            </w:pPr>
            <w:r>
              <w:rPr>
                <w:b/>
                <w:color w:val="FFFFFF"/>
                <w:sz w:val="24"/>
                <w:szCs w:val="24"/>
              </w:rPr>
              <w:t>Monthly Grant</w:t>
            </w:r>
          </w:p>
        </w:tc>
        <w:tc>
          <w:tcPr>
            <w:tcW w:w="1297" w:type="dxa"/>
            <w:shd w:val="clear" w:color="auto" w:fill="95B3D7"/>
            <w:vAlign w:val="center"/>
          </w:tcPr>
          <w:p w:rsidR="00A83B33" w:rsidRDefault="00FC0D84">
            <w:pPr>
              <w:jc w:val="both"/>
              <w:rPr>
                <w:b/>
                <w:color w:val="FFFFFF"/>
                <w:sz w:val="24"/>
                <w:szCs w:val="24"/>
              </w:rPr>
            </w:pPr>
            <w:r>
              <w:rPr>
                <w:b/>
                <w:color w:val="FFFFFF"/>
                <w:sz w:val="24"/>
                <w:szCs w:val="24"/>
              </w:rPr>
              <w:t>Travel Grant</w:t>
            </w:r>
          </w:p>
        </w:tc>
      </w:tr>
      <w:tr w:rsidR="00A83B33">
        <w:trPr>
          <w:trHeight w:val="461"/>
        </w:trPr>
        <w:tc>
          <w:tcPr>
            <w:tcW w:w="1413" w:type="dxa"/>
            <w:vMerge w:val="restart"/>
            <w:vAlign w:val="center"/>
          </w:tcPr>
          <w:p w:rsidR="00A83B33" w:rsidRDefault="00FC0D84">
            <w:pPr>
              <w:jc w:val="both"/>
              <w:rPr>
                <w:sz w:val="24"/>
                <w:szCs w:val="24"/>
              </w:rPr>
            </w:pPr>
            <w:r>
              <w:rPr>
                <w:sz w:val="24"/>
                <w:szCs w:val="24"/>
              </w:rPr>
              <w:t>South Korea</w:t>
            </w:r>
          </w:p>
        </w:tc>
        <w:tc>
          <w:tcPr>
            <w:tcW w:w="2616" w:type="dxa"/>
            <w:vAlign w:val="center"/>
          </w:tcPr>
          <w:p w:rsidR="00A83B33" w:rsidRDefault="00FC0D84">
            <w:pPr>
              <w:rPr>
                <w:sz w:val="24"/>
                <w:szCs w:val="24"/>
              </w:rPr>
            </w:pPr>
            <w:r>
              <w:rPr>
                <w:sz w:val="24"/>
                <w:szCs w:val="24"/>
              </w:rPr>
              <w:t>Political science and international relations</w:t>
            </w:r>
          </w:p>
        </w:tc>
        <w:tc>
          <w:tcPr>
            <w:tcW w:w="1522" w:type="dxa"/>
            <w:vMerge w:val="restart"/>
            <w:vAlign w:val="center"/>
          </w:tcPr>
          <w:p w:rsidR="00A83B33" w:rsidRDefault="00CA11E0">
            <w:pPr>
              <w:jc w:val="center"/>
              <w:rPr>
                <w:sz w:val="24"/>
                <w:szCs w:val="24"/>
              </w:rPr>
            </w:pPr>
            <w:r>
              <w:rPr>
                <w:sz w:val="24"/>
                <w:szCs w:val="24"/>
              </w:rPr>
              <w:t>1</w:t>
            </w:r>
            <w:r w:rsidR="00FC0D84">
              <w:rPr>
                <w:sz w:val="24"/>
                <w:szCs w:val="24"/>
              </w:rPr>
              <w:t>*</w:t>
            </w:r>
          </w:p>
        </w:tc>
        <w:tc>
          <w:tcPr>
            <w:tcW w:w="1217" w:type="dxa"/>
            <w:vMerge w:val="restart"/>
            <w:vAlign w:val="center"/>
          </w:tcPr>
          <w:p w:rsidR="00A83B33" w:rsidRDefault="00CA11E0">
            <w:pPr>
              <w:jc w:val="center"/>
              <w:rPr>
                <w:sz w:val="24"/>
                <w:szCs w:val="24"/>
              </w:rPr>
            </w:pPr>
            <w:r>
              <w:rPr>
                <w:sz w:val="24"/>
                <w:szCs w:val="24"/>
              </w:rPr>
              <w:t>1</w:t>
            </w:r>
          </w:p>
        </w:tc>
        <w:tc>
          <w:tcPr>
            <w:tcW w:w="1093" w:type="dxa"/>
            <w:vMerge w:val="restart"/>
            <w:vAlign w:val="center"/>
          </w:tcPr>
          <w:p w:rsidR="00A83B33" w:rsidRDefault="00FC0D84">
            <w:pPr>
              <w:jc w:val="both"/>
              <w:rPr>
                <w:sz w:val="24"/>
                <w:szCs w:val="24"/>
              </w:rPr>
            </w:pPr>
            <w:r>
              <w:rPr>
                <w:sz w:val="24"/>
                <w:szCs w:val="24"/>
              </w:rPr>
              <w:t>700€</w:t>
            </w:r>
          </w:p>
        </w:tc>
        <w:tc>
          <w:tcPr>
            <w:tcW w:w="1297" w:type="dxa"/>
            <w:vMerge w:val="restart"/>
            <w:vAlign w:val="center"/>
          </w:tcPr>
          <w:p w:rsidR="00A83B33" w:rsidRDefault="00FC0D84">
            <w:pPr>
              <w:jc w:val="both"/>
              <w:rPr>
                <w:sz w:val="24"/>
                <w:szCs w:val="24"/>
              </w:rPr>
            </w:pPr>
            <w:r>
              <w:rPr>
                <w:sz w:val="24"/>
                <w:szCs w:val="24"/>
              </w:rPr>
              <w:t>820€</w:t>
            </w:r>
          </w:p>
        </w:tc>
      </w:tr>
      <w:tr w:rsidR="00A83B33">
        <w:trPr>
          <w:trHeight w:val="550"/>
        </w:trPr>
        <w:tc>
          <w:tcPr>
            <w:tcW w:w="1413" w:type="dxa"/>
            <w:vMerge/>
            <w:vAlign w:val="center"/>
          </w:tcPr>
          <w:p w:rsidR="00A83B33" w:rsidRDefault="00A83B33">
            <w:pPr>
              <w:widowControl w:val="0"/>
              <w:pBdr>
                <w:top w:val="nil"/>
                <w:left w:val="nil"/>
                <w:bottom w:val="nil"/>
                <w:right w:val="nil"/>
                <w:between w:val="nil"/>
              </w:pBdr>
              <w:spacing w:line="276" w:lineRule="auto"/>
              <w:rPr>
                <w:sz w:val="24"/>
                <w:szCs w:val="24"/>
              </w:rPr>
            </w:pPr>
          </w:p>
        </w:tc>
        <w:tc>
          <w:tcPr>
            <w:tcW w:w="2616" w:type="dxa"/>
            <w:vAlign w:val="center"/>
          </w:tcPr>
          <w:p w:rsidR="00A83B33" w:rsidRDefault="00FC0D84">
            <w:pPr>
              <w:jc w:val="both"/>
              <w:rPr>
                <w:sz w:val="24"/>
                <w:szCs w:val="24"/>
              </w:rPr>
            </w:pPr>
            <w:r>
              <w:rPr>
                <w:sz w:val="24"/>
                <w:szCs w:val="24"/>
              </w:rPr>
              <w:t>Business</w:t>
            </w:r>
          </w:p>
        </w:tc>
        <w:tc>
          <w:tcPr>
            <w:tcW w:w="1522" w:type="dxa"/>
            <w:vMerge/>
            <w:vAlign w:val="center"/>
          </w:tcPr>
          <w:p w:rsidR="00A83B33" w:rsidRDefault="00A83B33">
            <w:pPr>
              <w:widowControl w:val="0"/>
              <w:pBdr>
                <w:top w:val="nil"/>
                <w:left w:val="nil"/>
                <w:bottom w:val="nil"/>
                <w:right w:val="nil"/>
                <w:between w:val="nil"/>
              </w:pBdr>
              <w:spacing w:line="276" w:lineRule="auto"/>
              <w:rPr>
                <w:sz w:val="24"/>
                <w:szCs w:val="24"/>
              </w:rPr>
            </w:pPr>
          </w:p>
        </w:tc>
        <w:tc>
          <w:tcPr>
            <w:tcW w:w="1217" w:type="dxa"/>
            <w:vMerge/>
            <w:vAlign w:val="center"/>
          </w:tcPr>
          <w:p w:rsidR="00A83B33" w:rsidRDefault="00A83B33">
            <w:pPr>
              <w:widowControl w:val="0"/>
              <w:pBdr>
                <w:top w:val="nil"/>
                <w:left w:val="nil"/>
                <w:bottom w:val="nil"/>
                <w:right w:val="nil"/>
                <w:between w:val="nil"/>
              </w:pBdr>
              <w:spacing w:line="276" w:lineRule="auto"/>
              <w:rPr>
                <w:sz w:val="24"/>
                <w:szCs w:val="24"/>
              </w:rPr>
            </w:pPr>
          </w:p>
        </w:tc>
        <w:tc>
          <w:tcPr>
            <w:tcW w:w="1093" w:type="dxa"/>
            <w:vMerge/>
            <w:vAlign w:val="center"/>
          </w:tcPr>
          <w:p w:rsidR="00A83B33" w:rsidRDefault="00A83B33">
            <w:pPr>
              <w:widowControl w:val="0"/>
              <w:pBdr>
                <w:top w:val="nil"/>
                <w:left w:val="nil"/>
                <w:bottom w:val="nil"/>
                <w:right w:val="nil"/>
                <w:between w:val="nil"/>
              </w:pBdr>
              <w:spacing w:line="276" w:lineRule="auto"/>
              <w:rPr>
                <w:sz w:val="24"/>
                <w:szCs w:val="24"/>
              </w:rPr>
            </w:pPr>
          </w:p>
        </w:tc>
        <w:tc>
          <w:tcPr>
            <w:tcW w:w="1297" w:type="dxa"/>
            <w:vMerge/>
            <w:vAlign w:val="center"/>
          </w:tcPr>
          <w:p w:rsidR="00A83B33" w:rsidRDefault="00A83B33">
            <w:pPr>
              <w:widowControl w:val="0"/>
              <w:pBdr>
                <w:top w:val="nil"/>
                <w:left w:val="nil"/>
                <w:bottom w:val="nil"/>
                <w:right w:val="nil"/>
                <w:between w:val="nil"/>
              </w:pBdr>
              <w:spacing w:line="276" w:lineRule="auto"/>
              <w:rPr>
                <w:sz w:val="24"/>
                <w:szCs w:val="24"/>
              </w:rPr>
            </w:pPr>
          </w:p>
        </w:tc>
      </w:tr>
      <w:tr w:rsidR="00A83B33">
        <w:trPr>
          <w:trHeight w:val="436"/>
        </w:trPr>
        <w:tc>
          <w:tcPr>
            <w:tcW w:w="1413" w:type="dxa"/>
            <w:vMerge w:val="restart"/>
            <w:vAlign w:val="center"/>
          </w:tcPr>
          <w:p w:rsidR="00A83B33" w:rsidRDefault="00FC0D84">
            <w:pPr>
              <w:jc w:val="both"/>
              <w:rPr>
                <w:sz w:val="24"/>
                <w:szCs w:val="24"/>
              </w:rPr>
            </w:pPr>
            <w:r>
              <w:rPr>
                <w:sz w:val="24"/>
                <w:szCs w:val="24"/>
              </w:rPr>
              <w:t>Russia</w:t>
            </w:r>
          </w:p>
        </w:tc>
        <w:tc>
          <w:tcPr>
            <w:tcW w:w="2616" w:type="dxa"/>
            <w:vAlign w:val="center"/>
          </w:tcPr>
          <w:p w:rsidR="00A83B33" w:rsidRDefault="00FC0D84">
            <w:pPr>
              <w:jc w:val="both"/>
              <w:rPr>
                <w:sz w:val="24"/>
                <w:szCs w:val="24"/>
              </w:rPr>
            </w:pPr>
            <w:r>
              <w:rPr>
                <w:sz w:val="24"/>
                <w:szCs w:val="24"/>
              </w:rPr>
              <w:t>Russian Language and Literature</w:t>
            </w:r>
          </w:p>
        </w:tc>
        <w:tc>
          <w:tcPr>
            <w:tcW w:w="1522" w:type="dxa"/>
            <w:vAlign w:val="center"/>
          </w:tcPr>
          <w:p w:rsidR="00A83B33" w:rsidRDefault="00FC0D84">
            <w:pPr>
              <w:jc w:val="center"/>
              <w:rPr>
                <w:sz w:val="24"/>
                <w:szCs w:val="24"/>
              </w:rPr>
            </w:pPr>
            <w:r>
              <w:rPr>
                <w:sz w:val="24"/>
                <w:szCs w:val="24"/>
              </w:rPr>
              <w:t>2</w:t>
            </w:r>
          </w:p>
        </w:tc>
        <w:tc>
          <w:tcPr>
            <w:tcW w:w="1217" w:type="dxa"/>
            <w:vAlign w:val="center"/>
          </w:tcPr>
          <w:p w:rsidR="00A83B33" w:rsidRDefault="00CA11E0">
            <w:pPr>
              <w:jc w:val="center"/>
              <w:rPr>
                <w:sz w:val="24"/>
                <w:szCs w:val="24"/>
              </w:rPr>
            </w:pPr>
            <w:r>
              <w:rPr>
                <w:sz w:val="24"/>
                <w:szCs w:val="24"/>
              </w:rPr>
              <w:t>1</w:t>
            </w:r>
          </w:p>
        </w:tc>
        <w:tc>
          <w:tcPr>
            <w:tcW w:w="1093" w:type="dxa"/>
            <w:vMerge w:val="restart"/>
            <w:vAlign w:val="center"/>
          </w:tcPr>
          <w:p w:rsidR="00A83B33" w:rsidRDefault="00FC0D84">
            <w:pPr>
              <w:jc w:val="both"/>
              <w:rPr>
                <w:sz w:val="24"/>
                <w:szCs w:val="24"/>
              </w:rPr>
            </w:pPr>
            <w:r>
              <w:rPr>
                <w:sz w:val="24"/>
                <w:szCs w:val="24"/>
              </w:rPr>
              <w:t>700€</w:t>
            </w:r>
          </w:p>
        </w:tc>
        <w:tc>
          <w:tcPr>
            <w:tcW w:w="1297" w:type="dxa"/>
            <w:vMerge w:val="restart"/>
            <w:vAlign w:val="center"/>
          </w:tcPr>
          <w:p w:rsidR="00A83B33" w:rsidRDefault="00FC0D84">
            <w:pPr>
              <w:jc w:val="both"/>
              <w:rPr>
                <w:sz w:val="24"/>
                <w:szCs w:val="24"/>
              </w:rPr>
            </w:pPr>
            <w:r>
              <w:rPr>
                <w:sz w:val="24"/>
                <w:szCs w:val="24"/>
              </w:rPr>
              <w:t>360€</w:t>
            </w:r>
          </w:p>
        </w:tc>
      </w:tr>
      <w:tr w:rsidR="00A83B33">
        <w:trPr>
          <w:trHeight w:val="435"/>
        </w:trPr>
        <w:tc>
          <w:tcPr>
            <w:tcW w:w="1413" w:type="dxa"/>
            <w:vMerge/>
            <w:vAlign w:val="center"/>
          </w:tcPr>
          <w:p w:rsidR="00A83B33" w:rsidRDefault="00A83B33">
            <w:pPr>
              <w:widowControl w:val="0"/>
              <w:pBdr>
                <w:top w:val="nil"/>
                <w:left w:val="nil"/>
                <w:bottom w:val="nil"/>
                <w:right w:val="nil"/>
                <w:between w:val="nil"/>
              </w:pBdr>
              <w:spacing w:line="276" w:lineRule="auto"/>
              <w:rPr>
                <w:sz w:val="24"/>
                <w:szCs w:val="24"/>
              </w:rPr>
            </w:pPr>
          </w:p>
        </w:tc>
        <w:tc>
          <w:tcPr>
            <w:tcW w:w="2616" w:type="dxa"/>
            <w:vAlign w:val="center"/>
          </w:tcPr>
          <w:p w:rsidR="00A83B33" w:rsidRDefault="00FC0D84">
            <w:pPr>
              <w:jc w:val="both"/>
              <w:rPr>
                <w:sz w:val="24"/>
                <w:szCs w:val="24"/>
              </w:rPr>
            </w:pPr>
            <w:r>
              <w:rPr>
                <w:sz w:val="24"/>
                <w:szCs w:val="24"/>
              </w:rPr>
              <w:t>Translation Science</w:t>
            </w:r>
          </w:p>
        </w:tc>
        <w:tc>
          <w:tcPr>
            <w:tcW w:w="1522" w:type="dxa"/>
            <w:vAlign w:val="center"/>
          </w:tcPr>
          <w:p w:rsidR="00A83B33" w:rsidRDefault="00CA11E0">
            <w:pPr>
              <w:jc w:val="center"/>
              <w:rPr>
                <w:sz w:val="24"/>
                <w:szCs w:val="24"/>
              </w:rPr>
            </w:pPr>
            <w:r>
              <w:rPr>
                <w:sz w:val="24"/>
                <w:szCs w:val="24"/>
              </w:rPr>
              <w:t>1</w:t>
            </w:r>
          </w:p>
        </w:tc>
        <w:tc>
          <w:tcPr>
            <w:tcW w:w="1217" w:type="dxa"/>
            <w:vAlign w:val="center"/>
          </w:tcPr>
          <w:p w:rsidR="00A83B33" w:rsidRDefault="00CA11E0">
            <w:pPr>
              <w:jc w:val="center"/>
              <w:rPr>
                <w:sz w:val="24"/>
                <w:szCs w:val="24"/>
              </w:rPr>
            </w:pPr>
            <w:r>
              <w:rPr>
                <w:sz w:val="24"/>
                <w:szCs w:val="24"/>
              </w:rPr>
              <w:t>1</w:t>
            </w:r>
          </w:p>
        </w:tc>
        <w:tc>
          <w:tcPr>
            <w:tcW w:w="1093" w:type="dxa"/>
            <w:vMerge/>
            <w:vAlign w:val="center"/>
          </w:tcPr>
          <w:p w:rsidR="00A83B33" w:rsidRDefault="00A83B33">
            <w:pPr>
              <w:widowControl w:val="0"/>
              <w:pBdr>
                <w:top w:val="nil"/>
                <w:left w:val="nil"/>
                <w:bottom w:val="nil"/>
                <w:right w:val="nil"/>
                <w:between w:val="nil"/>
              </w:pBdr>
              <w:spacing w:line="276" w:lineRule="auto"/>
              <w:rPr>
                <w:sz w:val="24"/>
                <w:szCs w:val="24"/>
              </w:rPr>
            </w:pPr>
          </w:p>
        </w:tc>
        <w:tc>
          <w:tcPr>
            <w:tcW w:w="1297" w:type="dxa"/>
            <w:vMerge/>
            <w:vAlign w:val="center"/>
          </w:tcPr>
          <w:p w:rsidR="00A83B33" w:rsidRDefault="00A83B33">
            <w:pPr>
              <w:widowControl w:val="0"/>
              <w:pBdr>
                <w:top w:val="nil"/>
                <w:left w:val="nil"/>
                <w:bottom w:val="nil"/>
                <w:right w:val="nil"/>
                <w:between w:val="nil"/>
              </w:pBdr>
              <w:spacing w:line="276" w:lineRule="auto"/>
              <w:rPr>
                <w:sz w:val="24"/>
                <w:szCs w:val="24"/>
              </w:rPr>
            </w:pPr>
          </w:p>
        </w:tc>
      </w:tr>
      <w:tr w:rsidR="00A83B33">
        <w:trPr>
          <w:trHeight w:val="712"/>
        </w:trPr>
        <w:tc>
          <w:tcPr>
            <w:tcW w:w="9158" w:type="dxa"/>
            <w:gridSpan w:val="6"/>
            <w:shd w:val="clear" w:color="auto" w:fill="F2F2F2"/>
          </w:tcPr>
          <w:p w:rsidR="00A83B33" w:rsidRDefault="00FC0D84">
            <w:pPr>
              <w:jc w:val="both"/>
              <w:rPr>
                <w:sz w:val="24"/>
                <w:szCs w:val="24"/>
              </w:rPr>
            </w:pPr>
            <w:r>
              <w:rPr>
                <w:i/>
                <w:sz w:val="24"/>
                <w:szCs w:val="24"/>
              </w:rPr>
              <w:t xml:space="preserve">*This is a common quota. A grant </w:t>
            </w:r>
            <w:proofErr w:type="gramStart"/>
            <w:r>
              <w:rPr>
                <w:i/>
                <w:sz w:val="24"/>
                <w:szCs w:val="24"/>
              </w:rPr>
              <w:t>is allocated</w:t>
            </w:r>
            <w:proofErr w:type="gramEnd"/>
            <w:r>
              <w:rPr>
                <w:i/>
                <w:sz w:val="24"/>
                <w:szCs w:val="24"/>
              </w:rPr>
              <w:t xml:space="preserve"> to the student who has the highest Erasmus score in both departments and is placed.</w:t>
            </w:r>
          </w:p>
        </w:tc>
      </w:tr>
      <w:tr w:rsidR="00A83B33">
        <w:trPr>
          <w:trHeight w:val="435"/>
        </w:trPr>
        <w:tc>
          <w:tcPr>
            <w:tcW w:w="9158" w:type="dxa"/>
            <w:gridSpan w:val="6"/>
            <w:shd w:val="clear" w:color="auto" w:fill="F2F2F2"/>
          </w:tcPr>
          <w:p w:rsidR="00A83B33" w:rsidRDefault="00FC0D84">
            <w:pPr>
              <w:jc w:val="both"/>
              <w:rPr>
                <w:i/>
                <w:sz w:val="24"/>
                <w:szCs w:val="24"/>
              </w:rPr>
            </w:pPr>
            <w:r>
              <w:rPr>
                <w:i/>
                <w:sz w:val="24"/>
                <w:szCs w:val="24"/>
              </w:rPr>
              <w:t>** One semester is approximately 4.5 months.</w:t>
            </w:r>
          </w:p>
        </w:tc>
      </w:tr>
    </w:tbl>
    <w:p w:rsidR="00A83B33" w:rsidRDefault="00A83B33">
      <w:pPr>
        <w:jc w:val="both"/>
        <w:rPr>
          <w:sz w:val="24"/>
          <w:szCs w:val="24"/>
        </w:rPr>
      </w:pPr>
    </w:p>
    <w:p w:rsidR="00A83B33" w:rsidRDefault="00FC0D84">
      <w:pPr>
        <w:jc w:val="both"/>
        <w:rPr>
          <w:sz w:val="24"/>
          <w:szCs w:val="24"/>
        </w:rPr>
      </w:pPr>
      <w:r>
        <w:rPr>
          <w:sz w:val="24"/>
          <w:szCs w:val="24"/>
        </w:rPr>
        <w:t xml:space="preserve">Students who will be eligible to receive a grant </w:t>
      </w:r>
      <w:proofErr w:type="gramStart"/>
      <w:r>
        <w:rPr>
          <w:sz w:val="24"/>
          <w:szCs w:val="24"/>
        </w:rPr>
        <w:t>are allocated</w:t>
      </w:r>
      <w:proofErr w:type="gramEnd"/>
      <w:r>
        <w:rPr>
          <w:sz w:val="24"/>
          <w:szCs w:val="24"/>
        </w:rPr>
        <w:t xml:space="preserve"> a grant for a maximum of one semester. Students' semester extension requests </w:t>
      </w:r>
      <w:proofErr w:type="gramStart"/>
      <w:r>
        <w:rPr>
          <w:sz w:val="24"/>
          <w:szCs w:val="24"/>
        </w:rPr>
        <w:t>are evaluated</w:t>
      </w:r>
      <w:proofErr w:type="gramEnd"/>
      <w:r>
        <w:rPr>
          <w:sz w:val="24"/>
          <w:szCs w:val="24"/>
        </w:rPr>
        <w:t xml:space="preserve"> according to additional grant and/or remaining grant amounts from students who have given up.</w:t>
      </w:r>
    </w:p>
    <w:p w:rsidR="00A83B33" w:rsidRDefault="00A83B33">
      <w:pPr>
        <w:rPr>
          <w:sz w:val="24"/>
          <w:szCs w:val="24"/>
        </w:rPr>
      </w:pPr>
    </w:p>
    <w:p w:rsidR="00A83B33" w:rsidRDefault="00FC0D84">
      <w:pPr>
        <w:jc w:val="both"/>
        <w:rPr>
          <w:sz w:val="24"/>
          <w:szCs w:val="24"/>
        </w:rPr>
      </w:pPr>
      <w:r>
        <w:rPr>
          <w:sz w:val="24"/>
          <w:szCs w:val="24"/>
        </w:rPr>
        <w:t xml:space="preserve">Grant payments </w:t>
      </w:r>
      <w:proofErr w:type="gramStart"/>
      <w:r>
        <w:rPr>
          <w:sz w:val="24"/>
          <w:szCs w:val="24"/>
        </w:rPr>
        <w:t>are made</w:t>
      </w:r>
      <w:proofErr w:type="gramEnd"/>
      <w:r>
        <w:rPr>
          <w:sz w:val="24"/>
          <w:szCs w:val="24"/>
        </w:rPr>
        <w:t xml:space="preserve"> in two installments. The first payment is 80% of the total Erasmus+ grant. Payment of the second installment is dependent on students completing all required procedures and students' academic standing (successfully completing/passing at least half of the course credits).</w:t>
      </w:r>
    </w:p>
    <w:p w:rsidR="00A83B33" w:rsidRDefault="00A83B33">
      <w:pPr>
        <w:jc w:val="both"/>
        <w:rPr>
          <w:sz w:val="24"/>
          <w:szCs w:val="24"/>
        </w:rPr>
      </w:pPr>
    </w:p>
    <w:p w:rsidR="00A83B33" w:rsidRDefault="00CA11E0">
      <w:pPr>
        <w:rPr>
          <w:sz w:val="24"/>
          <w:szCs w:val="24"/>
          <w:u w:val="single"/>
        </w:rPr>
      </w:pPr>
      <w:r>
        <w:rPr>
          <w:sz w:val="24"/>
          <w:szCs w:val="24"/>
          <w:u w:val="single"/>
        </w:rPr>
        <w:t>D</w:t>
      </w:r>
      <w:r w:rsidR="00FC0D84">
        <w:rPr>
          <w:sz w:val="24"/>
          <w:szCs w:val="24"/>
          <w:u w:val="single"/>
        </w:rPr>
        <w:t>etailed grant distribut</w:t>
      </w:r>
      <w:r>
        <w:rPr>
          <w:sz w:val="24"/>
          <w:szCs w:val="24"/>
          <w:u w:val="single"/>
        </w:rPr>
        <w:t xml:space="preserve">ion method and </w:t>
      </w:r>
      <w:hyperlink r:id="rId14" w:history="1">
        <w:r w:rsidRPr="003756A3">
          <w:rPr>
            <w:rStyle w:val="Hyperlink"/>
            <w:sz w:val="24"/>
            <w:szCs w:val="24"/>
          </w:rPr>
          <w:t>grant deductions</w:t>
        </w:r>
      </w:hyperlink>
      <w:hyperlink r:id="rId15">
        <w:r w:rsidR="00FC0D84">
          <w:rPr>
            <w:color w:val="1155CC"/>
            <w:sz w:val="24"/>
            <w:szCs w:val="24"/>
            <w:u w:val="single"/>
          </w:rPr>
          <w:t>.</w:t>
        </w:r>
      </w:hyperlink>
    </w:p>
    <w:p w:rsidR="00A83B33" w:rsidRDefault="00A83B33">
      <w:pPr>
        <w:rPr>
          <w:sz w:val="24"/>
          <w:szCs w:val="24"/>
          <w:highlight w:val="yellow"/>
          <w:u w:val="single"/>
        </w:rPr>
      </w:pPr>
    </w:p>
    <w:p w:rsidR="00A83B33" w:rsidRPr="00CA11E0" w:rsidRDefault="00FC0D84">
      <w:pPr>
        <w:rPr>
          <w:b/>
          <w:sz w:val="24"/>
          <w:szCs w:val="24"/>
          <w:highlight w:val="yellow"/>
          <w:u w:val="single"/>
        </w:rPr>
      </w:pPr>
      <w:r w:rsidRPr="00CA11E0">
        <w:rPr>
          <w:b/>
          <w:sz w:val="24"/>
          <w:szCs w:val="24"/>
          <w:u w:val="single"/>
        </w:rPr>
        <w:t>Additional Grant Support</w:t>
      </w:r>
    </w:p>
    <w:p w:rsidR="00A83B33" w:rsidRDefault="00A83B33">
      <w:pPr>
        <w:rPr>
          <w:sz w:val="24"/>
          <w:szCs w:val="24"/>
          <w:highlight w:val="yellow"/>
          <w:u w:val="single"/>
        </w:rPr>
      </w:pPr>
    </w:p>
    <w:p w:rsidR="00A83B33" w:rsidRDefault="00FC0D84">
      <w:pPr>
        <w:jc w:val="both"/>
        <w:rPr>
          <w:sz w:val="24"/>
          <w:szCs w:val="24"/>
        </w:rPr>
      </w:pPr>
      <w:r>
        <w:rPr>
          <w:sz w:val="24"/>
          <w:szCs w:val="24"/>
        </w:rPr>
        <w:t xml:space="preserve">Additional Grant Support </w:t>
      </w:r>
      <w:proofErr w:type="gramStart"/>
      <w:r>
        <w:rPr>
          <w:sz w:val="24"/>
          <w:szCs w:val="24"/>
        </w:rPr>
        <w:t>may be provided</w:t>
      </w:r>
      <w:proofErr w:type="gramEnd"/>
      <w:r>
        <w:rPr>
          <w:sz w:val="24"/>
          <w:szCs w:val="24"/>
        </w:rPr>
        <w:t xml:space="preserve"> to disadvantaged participants in addition to the grant they deserve. In order to grant the grant in question, a disadvantaged participant </w:t>
      </w:r>
      <w:proofErr w:type="gramStart"/>
      <w:r>
        <w:rPr>
          <w:sz w:val="24"/>
          <w:szCs w:val="24"/>
        </w:rPr>
        <w:t>is defined</w:t>
      </w:r>
      <w:proofErr w:type="gramEnd"/>
      <w:r>
        <w:rPr>
          <w:sz w:val="24"/>
          <w:szCs w:val="24"/>
        </w:rPr>
        <w:t xml:space="preserve"> as an individual with limited economic and social opportunities and who fits into the following subcategories;</w:t>
      </w:r>
    </w:p>
    <w:p w:rsidR="00A83B33" w:rsidRDefault="00A83B33">
      <w:pPr>
        <w:jc w:val="both"/>
        <w:rPr>
          <w:sz w:val="24"/>
          <w:szCs w:val="24"/>
        </w:rPr>
      </w:pPr>
    </w:p>
    <w:p w:rsidR="00A83B33" w:rsidRDefault="00FC0D84">
      <w:pPr>
        <w:numPr>
          <w:ilvl w:val="0"/>
          <w:numId w:val="10"/>
        </w:numPr>
        <w:jc w:val="both"/>
        <w:rPr>
          <w:sz w:val="24"/>
          <w:szCs w:val="24"/>
        </w:rPr>
      </w:pPr>
      <w:r>
        <w:rPr>
          <w:sz w:val="24"/>
          <w:szCs w:val="24"/>
        </w:rPr>
        <w:t>Those who are subject to Law No. 2828 (those who have a protection, care or shelter decision issued by the Ministry of Family and Social Services in accordance with Law No. 2828)</w:t>
      </w:r>
    </w:p>
    <w:p w:rsidR="00A83B33" w:rsidRDefault="00FC0D84">
      <w:pPr>
        <w:numPr>
          <w:ilvl w:val="0"/>
          <w:numId w:val="10"/>
        </w:numPr>
        <w:jc w:val="both"/>
        <w:rPr>
          <w:sz w:val="24"/>
          <w:szCs w:val="24"/>
        </w:rPr>
      </w:pPr>
      <w:r>
        <w:rPr>
          <w:sz w:val="24"/>
          <w:szCs w:val="24"/>
        </w:rPr>
        <w:t>Students for whom protection, care or accommodation decisions have been made within the scope of the Child Protection Law No. 5395</w:t>
      </w:r>
    </w:p>
    <w:p w:rsidR="00A83B33" w:rsidRDefault="00FC0D84">
      <w:pPr>
        <w:numPr>
          <w:ilvl w:val="0"/>
          <w:numId w:val="10"/>
        </w:numPr>
        <w:jc w:val="both"/>
        <w:rPr>
          <w:sz w:val="24"/>
          <w:szCs w:val="24"/>
        </w:rPr>
      </w:pPr>
      <w:r>
        <w:rPr>
          <w:sz w:val="24"/>
          <w:szCs w:val="24"/>
        </w:rPr>
        <w:lastRenderedPageBreak/>
        <w:t>Those who have no other parental income and receive orphan's pension</w:t>
      </w:r>
    </w:p>
    <w:p w:rsidR="00CA11E0" w:rsidRPr="00644028" w:rsidRDefault="00FC0D84" w:rsidP="00CA11E0">
      <w:pPr>
        <w:numPr>
          <w:ilvl w:val="0"/>
          <w:numId w:val="10"/>
        </w:numPr>
        <w:jc w:val="both"/>
        <w:rPr>
          <w:sz w:val="24"/>
          <w:szCs w:val="24"/>
        </w:rPr>
      </w:pPr>
      <w:r>
        <w:rPr>
          <w:sz w:val="24"/>
          <w:szCs w:val="24"/>
        </w:rPr>
        <w:t>Martyr/Veteran children</w:t>
      </w:r>
    </w:p>
    <w:p w:rsidR="00A83B33" w:rsidRDefault="00FC0D84">
      <w:pPr>
        <w:numPr>
          <w:ilvl w:val="0"/>
          <w:numId w:val="10"/>
        </w:numPr>
        <w:jc w:val="both"/>
        <w:rPr>
          <w:sz w:val="24"/>
          <w:szCs w:val="24"/>
        </w:rPr>
      </w:pPr>
      <w:r>
        <w:rPr>
          <w:sz w:val="24"/>
          <w:szCs w:val="24"/>
        </w:rPr>
        <w:t>Those who receive a dependency pension for themselves or their family (the student must submit a document proving that he, his parents or guardian has received financial support from municipalities, public institutions and organizations (Ministries, Social Assistance and Solidarity Foundations, General Directorate of Foundations, Red Crescent, AFAD) when applying for Erasmus. It is sufficient to do so.)</w:t>
      </w:r>
    </w:p>
    <w:p w:rsidR="00A83B33" w:rsidRDefault="00FC0D84">
      <w:pPr>
        <w:numPr>
          <w:ilvl w:val="0"/>
          <w:numId w:val="10"/>
        </w:numPr>
        <w:jc w:val="both"/>
        <w:rPr>
          <w:sz w:val="24"/>
          <w:szCs w:val="24"/>
        </w:rPr>
      </w:pPr>
      <w:r>
        <w:rPr>
          <w:sz w:val="24"/>
          <w:szCs w:val="24"/>
        </w:rPr>
        <w:t>disabled people</w:t>
      </w:r>
    </w:p>
    <w:p w:rsidR="00A83B33" w:rsidRDefault="00FC0D84">
      <w:pPr>
        <w:numPr>
          <w:ilvl w:val="0"/>
          <w:numId w:val="10"/>
        </w:numPr>
        <w:jc w:val="both"/>
        <w:rPr>
          <w:sz w:val="24"/>
          <w:szCs w:val="24"/>
        </w:rPr>
      </w:pPr>
      <w:r>
        <w:rPr>
          <w:sz w:val="24"/>
          <w:szCs w:val="24"/>
        </w:rPr>
        <w:t>Students whose parents or guardians receive a disabled or needy pension within the scope of the Law No. 2022 dated 01.07.1976 on Pension to Needy, Powerless and Orphaned Turkish Citizens Over the Age of 65 and Disabled and Needy Turkish Citizens</w:t>
      </w:r>
    </w:p>
    <w:p w:rsidR="00A83B33" w:rsidRDefault="00A83B33">
      <w:pPr>
        <w:ind w:left="720"/>
        <w:jc w:val="both"/>
        <w:rPr>
          <w:sz w:val="24"/>
          <w:szCs w:val="24"/>
        </w:rPr>
      </w:pPr>
    </w:p>
    <w:p w:rsidR="00A83B33" w:rsidRDefault="00FC0D84">
      <w:pPr>
        <w:numPr>
          <w:ilvl w:val="0"/>
          <w:numId w:val="3"/>
        </w:numPr>
        <w:jc w:val="both"/>
        <w:rPr>
          <w:sz w:val="24"/>
          <w:szCs w:val="24"/>
        </w:rPr>
      </w:pPr>
      <w:r>
        <w:rPr>
          <w:sz w:val="24"/>
          <w:szCs w:val="24"/>
        </w:rPr>
        <w:t xml:space="preserve">Credit and Hostels Institution scholarships and similar scholarships, other grants, aid and scholarships in the nature of success scholarships, and one-time aid </w:t>
      </w:r>
      <w:proofErr w:type="gramStart"/>
      <w:r>
        <w:rPr>
          <w:sz w:val="24"/>
          <w:szCs w:val="24"/>
        </w:rPr>
        <w:t>are not accepted</w:t>
      </w:r>
      <w:proofErr w:type="gramEnd"/>
      <w:r>
        <w:rPr>
          <w:sz w:val="24"/>
          <w:szCs w:val="24"/>
        </w:rPr>
        <w:t xml:space="preserve"> within the scope of financial aid in question.</w:t>
      </w:r>
    </w:p>
    <w:p w:rsidR="00A83B33" w:rsidRDefault="00A83B33">
      <w:pPr>
        <w:jc w:val="both"/>
        <w:rPr>
          <w:sz w:val="24"/>
          <w:szCs w:val="24"/>
        </w:rPr>
      </w:pPr>
    </w:p>
    <w:p w:rsidR="00A83B33" w:rsidRDefault="00FC0D84">
      <w:pPr>
        <w:jc w:val="both"/>
        <w:rPr>
          <w:sz w:val="24"/>
          <w:szCs w:val="24"/>
        </w:rPr>
      </w:pPr>
      <w:r>
        <w:rPr>
          <w:sz w:val="24"/>
          <w:szCs w:val="24"/>
        </w:rPr>
        <w:t>Students who meet the above scope may be provided with Additional Grant Support in the following amounts, depending on their mobility type, upon their request and provided that they document their situation:</w:t>
      </w:r>
    </w:p>
    <w:p w:rsidR="00A83B33" w:rsidRDefault="00A83B33">
      <w:pPr>
        <w:jc w:val="both"/>
        <w:rPr>
          <w:sz w:val="24"/>
          <w:szCs w:val="24"/>
        </w:rPr>
      </w:pPr>
    </w:p>
    <w:tbl>
      <w:tblPr>
        <w:tblStyle w:val="a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83B33">
        <w:tc>
          <w:tcPr>
            <w:tcW w:w="4514" w:type="dxa"/>
            <w:shd w:val="clear" w:color="auto" w:fill="CFE2F3"/>
            <w:tcMar>
              <w:top w:w="100" w:type="dxa"/>
              <w:left w:w="100" w:type="dxa"/>
              <w:bottom w:w="100" w:type="dxa"/>
              <w:right w:w="100" w:type="dxa"/>
            </w:tcMar>
          </w:tcPr>
          <w:p w:rsidR="00A83B33" w:rsidRDefault="00FC0D84">
            <w:pPr>
              <w:widowControl w:val="0"/>
              <w:rPr>
                <w:b/>
                <w:sz w:val="24"/>
                <w:szCs w:val="24"/>
              </w:rPr>
            </w:pPr>
            <w:r>
              <w:rPr>
                <w:b/>
                <w:sz w:val="24"/>
                <w:szCs w:val="24"/>
              </w:rPr>
              <w:t>Mobility type</w:t>
            </w:r>
          </w:p>
        </w:tc>
        <w:tc>
          <w:tcPr>
            <w:tcW w:w="4515" w:type="dxa"/>
            <w:shd w:val="clear" w:color="auto" w:fill="CFE2F3"/>
            <w:tcMar>
              <w:top w:w="100" w:type="dxa"/>
              <w:left w:w="100" w:type="dxa"/>
              <w:bottom w:w="100" w:type="dxa"/>
              <w:right w:w="100" w:type="dxa"/>
            </w:tcMar>
          </w:tcPr>
          <w:p w:rsidR="00A83B33" w:rsidRDefault="00FC0D84">
            <w:pPr>
              <w:widowControl w:val="0"/>
              <w:rPr>
                <w:b/>
                <w:sz w:val="24"/>
                <w:szCs w:val="24"/>
              </w:rPr>
            </w:pPr>
            <w:r>
              <w:rPr>
                <w:b/>
                <w:sz w:val="24"/>
                <w:szCs w:val="24"/>
              </w:rPr>
              <w:t>Additional Grant Support Amount</w:t>
            </w:r>
          </w:p>
        </w:tc>
      </w:tr>
      <w:tr w:rsidR="00A83B33">
        <w:tc>
          <w:tcPr>
            <w:tcW w:w="4514" w:type="dxa"/>
            <w:shd w:val="clear" w:color="auto" w:fill="auto"/>
            <w:tcMar>
              <w:top w:w="100" w:type="dxa"/>
              <w:left w:w="100" w:type="dxa"/>
              <w:bottom w:w="100" w:type="dxa"/>
              <w:right w:w="100" w:type="dxa"/>
            </w:tcMar>
          </w:tcPr>
          <w:p w:rsidR="00A83B33" w:rsidRDefault="00FC0D84">
            <w:pPr>
              <w:widowControl w:val="0"/>
              <w:rPr>
                <w:sz w:val="24"/>
                <w:szCs w:val="24"/>
              </w:rPr>
            </w:pPr>
            <w:r>
              <w:rPr>
                <w:sz w:val="24"/>
                <w:szCs w:val="24"/>
              </w:rPr>
              <w:t>Student mobility between 2-12 months</w:t>
            </w:r>
          </w:p>
        </w:tc>
        <w:tc>
          <w:tcPr>
            <w:tcW w:w="4515" w:type="dxa"/>
            <w:shd w:val="clear" w:color="auto" w:fill="auto"/>
            <w:tcMar>
              <w:top w:w="100" w:type="dxa"/>
              <w:left w:w="100" w:type="dxa"/>
              <w:bottom w:w="100" w:type="dxa"/>
              <w:right w:w="100" w:type="dxa"/>
            </w:tcMar>
          </w:tcPr>
          <w:p w:rsidR="00A83B33" w:rsidRDefault="00FC0D84">
            <w:pPr>
              <w:widowControl w:val="0"/>
              <w:rPr>
                <w:sz w:val="24"/>
                <w:szCs w:val="24"/>
              </w:rPr>
            </w:pPr>
            <w:r>
              <w:rPr>
                <w:sz w:val="24"/>
                <w:szCs w:val="24"/>
              </w:rPr>
              <w:t>250 € per month</w:t>
            </w:r>
          </w:p>
        </w:tc>
      </w:tr>
      <w:tr w:rsidR="00A83B33">
        <w:tc>
          <w:tcPr>
            <w:tcW w:w="4514" w:type="dxa"/>
            <w:shd w:val="clear" w:color="auto" w:fill="auto"/>
            <w:tcMar>
              <w:top w:w="100" w:type="dxa"/>
              <w:left w:w="100" w:type="dxa"/>
              <w:bottom w:w="100" w:type="dxa"/>
              <w:right w:w="100" w:type="dxa"/>
            </w:tcMar>
          </w:tcPr>
          <w:p w:rsidR="00A83B33" w:rsidRDefault="00FC0D84">
            <w:pPr>
              <w:widowControl w:val="0"/>
              <w:rPr>
                <w:sz w:val="24"/>
                <w:szCs w:val="24"/>
              </w:rPr>
            </w:pPr>
            <w:r>
              <w:rPr>
                <w:sz w:val="24"/>
                <w:szCs w:val="24"/>
              </w:rPr>
              <w:t>Short-term student mobility between 5-14 days*</w:t>
            </w:r>
          </w:p>
        </w:tc>
        <w:tc>
          <w:tcPr>
            <w:tcW w:w="4515" w:type="dxa"/>
            <w:shd w:val="clear" w:color="auto" w:fill="auto"/>
            <w:tcMar>
              <w:top w:w="100" w:type="dxa"/>
              <w:left w:w="100" w:type="dxa"/>
              <w:bottom w:w="100" w:type="dxa"/>
              <w:right w:w="100" w:type="dxa"/>
            </w:tcMar>
          </w:tcPr>
          <w:p w:rsidR="00A83B33" w:rsidRDefault="00FC0D84">
            <w:pPr>
              <w:widowControl w:val="0"/>
              <w:rPr>
                <w:sz w:val="24"/>
                <w:szCs w:val="24"/>
              </w:rPr>
            </w:pPr>
            <w:r>
              <w:rPr>
                <w:sz w:val="24"/>
                <w:szCs w:val="24"/>
              </w:rPr>
              <w:t>€100 in addition to the daily grant total</w:t>
            </w:r>
          </w:p>
        </w:tc>
      </w:tr>
      <w:tr w:rsidR="00A83B33">
        <w:tc>
          <w:tcPr>
            <w:tcW w:w="4514" w:type="dxa"/>
            <w:shd w:val="clear" w:color="auto" w:fill="auto"/>
            <w:tcMar>
              <w:top w:w="100" w:type="dxa"/>
              <w:left w:w="100" w:type="dxa"/>
              <w:bottom w:w="100" w:type="dxa"/>
              <w:right w:w="100" w:type="dxa"/>
            </w:tcMar>
          </w:tcPr>
          <w:p w:rsidR="00A83B33" w:rsidRDefault="00FC0D84">
            <w:pPr>
              <w:widowControl w:val="0"/>
              <w:rPr>
                <w:sz w:val="24"/>
                <w:szCs w:val="24"/>
              </w:rPr>
            </w:pPr>
            <w:r>
              <w:rPr>
                <w:sz w:val="24"/>
                <w:szCs w:val="24"/>
              </w:rPr>
              <w:t>Short-term student mobility between 15-30 days*</w:t>
            </w:r>
          </w:p>
        </w:tc>
        <w:tc>
          <w:tcPr>
            <w:tcW w:w="4515" w:type="dxa"/>
            <w:shd w:val="clear" w:color="auto" w:fill="auto"/>
            <w:tcMar>
              <w:top w:w="100" w:type="dxa"/>
              <w:left w:w="100" w:type="dxa"/>
              <w:bottom w:w="100" w:type="dxa"/>
              <w:right w:w="100" w:type="dxa"/>
            </w:tcMar>
          </w:tcPr>
          <w:p w:rsidR="00A83B33" w:rsidRDefault="00FC0D84">
            <w:pPr>
              <w:widowControl w:val="0"/>
              <w:rPr>
                <w:sz w:val="24"/>
                <w:szCs w:val="24"/>
              </w:rPr>
            </w:pPr>
            <w:r>
              <w:rPr>
                <w:sz w:val="24"/>
                <w:szCs w:val="24"/>
              </w:rPr>
              <w:t>€150 in addition to the daily grant total</w:t>
            </w:r>
          </w:p>
        </w:tc>
      </w:tr>
    </w:tbl>
    <w:p w:rsidR="00A83B33" w:rsidRDefault="00A83B33">
      <w:pPr>
        <w:jc w:val="both"/>
        <w:rPr>
          <w:sz w:val="24"/>
          <w:szCs w:val="24"/>
        </w:rPr>
      </w:pPr>
    </w:p>
    <w:p w:rsidR="00A83B33" w:rsidRDefault="00FC0D84">
      <w:pPr>
        <w:jc w:val="both"/>
        <w:rPr>
          <w:sz w:val="24"/>
          <w:szCs w:val="24"/>
          <w:u w:val="single"/>
        </w:rPr>
      </w:pPr>
      <w:r>
        <w:rPr>
          <w:sz w:val="24"/>
          <w:szCs w:val="24"/>
          <w:u w:val="single"/>
        </w:rPr>
        <w:t>Green Travel Support for Students/New Graduates</w:t>
      </w:r>
    </w:p>
    <w:p w:rsidR="00A83B33" w:rsidRDefault="00A83B33">
      <w:pPr>
        <w:jc w:val="both"/>
        <w:rPr>
          <w:sz w:val="24"/>
          <w:szCs w:val="24"/>
        </w:rPr>
      </w:pPr>
    </w:p>
    <w:p w:rsidR="00A83B33" w:rsidRDefault="00FC0D84">
      <w:pPr>
        <w:jc w:val="both"/>
        <w:rPr>
          <w:sz w:val="24"/>
          <w:szCs w:val="24"/>
        </w:rPr>
      </w:pPr>
      <w:r>
        <w:rPr>
          <w:sz w:val="24"/>
          <w:szCs w:val="24"/>
        </w:rPr>
        <w:t xml:space="preserve">If students/new graduates choose green travel, they </w:t>
      </w:r>
      <w:proofErr w:type="gramStart"/>
      <w:r>
        <w:rPr>
          <w:sz w:val="24"/>
          <w:szCs w:val="24"/>
        </w:rPr>
        <w:t>may be given</w:t>
      </w:r>
      <w:proofErr w:type="gramEnd"/>
      <w:r>
        <w:rPr>
          <w:sz w:val="24"/>
          <w:szCs w:val="24"/>
        </w:rPr>
        <w:t xml:space="preserve"> a one-time additional grant of 50 Euros and an individual support grant of up to 4 days for their travel days.</w:t>
      </w:r>
    </w:p>
    <w:p w:rsidR="00A83B33" w:rsidRDefault="00A83B33">
      <w:pPr>
        <w:jc w:val="both"/>
        <w:rPr>
          <w:sz w:val="24"/>
          <w:szCs w:val="24"/>
        </w:rPr>
      </w:pPr>
    </w:p>
    <w:p w:rsidR="00A83B33" w:rsidRDefault="00FC0D84">
      <w:pPr>
        <w:jc w:val="both"/>
        <w:rPr>
          <w:sz w:val="24"/>
          <w:szCs w:val="24"/>
        </w:rPr>
      </w:pPr>
      <w:r>
        <w:rPr>
          <w:sz w:val="24"/>
          <w:szCs w:val="24"/>
        </w:rPr>
        <w:t xml:space="preserve">*Buses, trains and car sharing </w:t>
      </w:r>
      <w:proofErr w:type="gramStart"/>
      <w:r>
        <w:rPr>
          <w:sz w:val="24"/>
          <w:szCs w:val="24"/>
        </w:rPr>
        <w:t>are considered</w:t>
      </w:r>
      <w:proofErr w:type="gramEnd"/>
      <w:r>
        <w:rPr>
          <w:sz w:val="24"/>
          <w:szCs w:val="24"/>
        </w:rPr>
        <w:t xml:space="preserve"> low-emission transportation vehicles.</w:t>
      </w:r>
    </w:p>
    <w:p w:rsidR="00A83B33" w:rsidRDefault="00FC0D84">
      <w:pPr>
        <w:jc w:val="both"/>
        <w:rPr>
          <w:sz w:val="24"/>
          <w:szCs w:val="24"/>
        </w:rPr>
      </w:pPr>
      <w:r>
        <w:rPr>
          <w:sz w:val="24"/>
          <w:szCs w:val="24"/>
        </w:rPr>
        <w:t xml:space="preserve">* In order for the trip to </w:t>
      </w:r>
      <w:proofErr w:type="gramStart"/>
      <w:r>
        <w:rPr>
          <w:sz w:val="24"/>
          <w:szCs w:val="24"/>
        </w:rPr>
        <w:t>be considered</w:t>
      </w:r>
      <w:proofErr w:type="gramEnd"/>
      <w:r>
        <w:rPr>
          <w:sz w:val="24"/>
          <w:szCs w:val="24"/>
        </w:rPr>
        <w:t xml:space="preserve"> within the scope of green travel, both departure and return must be made with green travel vehicles. For exceptional cases, the National Agency </w:t>
      </w:r>
      <w:proofErr w:type="gramStart"/>
      <w:r>
        <w:rPr>
          <w:sz w:val="24"/>
          <w:szCs w:val="24"/>
        </w:rPr>
        <w:t>is consulted</w:t>
      </w:r>
      <w:proofErr w:type="gramEnd"/>
      <w:r>
        <w:rPr>
          <w:sz w:val="24"/>
          <w:szCs w:val="24"/>
        </w:rPr>
        <w:t>.</w:t>
      </w:r>
    </w:p>
    <w:p w:rsidR="00A83B33" w:rsidRDefault="00A83B33">
      <w:pPr>
        <w:jc w:val="both"/>
        <w:rPr>
          <w:b/>
          <w:sz w:val="24"/>
          <w:szCs w:val="24"/>
        </w:rPr>
      </w:pPr>
    </w:p>
    <w:p w:rsidR="00CA11E0" w:rsidRDefault="00CA11E0">
      <w:pPr>
        <w:jc w:val="both"/>
        <w:rPr>
          <w:b/>
          <w:sz w:val="24"/>
          <w:szCs w:val="24"/>
        </w:rPr>
      </w:pPr>
    </w:p>
    <w:p w:rsidR="00CA11E0" w:rsidRDefault="00CA11E0">
      <w:pPr>
        <w:jc w:val="both"/>
        <w:rPr>
          <w:b/>
          <w:sz w:val="24"/>
          <w:szCs w:val="24"/>
        </w:rPr>
      </w:pPr>
    </w:p>
    <w:p w:rsidR="00CA11E0" w:rsidRDefault="00CA11E0">
      <w:pPr>
        <w:jc w:val="both"/>
        <w:rPr>
          <w:b/>
          <w:sz w:val="24"/>
          <w:szCs w:val="24"/>
        </w:rPr>
      </w:pPr>
    </w:p>
    <w:p w:rsidR="00CA11E0" w:rsidRDefault="00CA11E0">
      <w:pPr>
        <w:jc w:val="both"/>
        <w:rPr>
          <w:b/>
          <w:sz w:val="24"/>
          <w:szCs w:val="24"/>
        </w:rPr>
      </w:pPr>
    </w:p>
    <w:p w:rsidR="00CA11E0" w:rsidRDefault="00CA11E0">
      <w:pPr>
        <w:jc w:val="both"/>
        <w:rPr>
          <w:b/>
          <w:sz w:val="24"/>
          <w:szCs w:val="24"/>
        </w:rPr>
      </w:pPr>
    </w:p>
    <w:p w:rsidR="00A83B33" w:rsidRDefault="00FC0D84">
      <w:pPr>
        <w:jc w:val="both"/>
        <w:rPr>
          <w:b/>
          <w:sz w:val="24"/>
          <w:szCs w:val="24"/>
          <w:u w:val="single"/>
        </w:rPr>
      </w:pPr>
      <w:r>
        <w:rPr>
          <w:b/>
          <w:sz w:val="24"/>
          <w:szCs w:val="24"/>
          <w:u w:val="single"/>
        </w:rPr>
        <w:t>Mobility Period Change, Period Extension and Cancellation</w:t>
      </w:r>
    </w:p>
    <w:p w:rsidR="00A83B33" w:rsidRDefault="00A83B33">
      <w:pPr>
        <w:jc w:val="both"/>
        <w:rPr>
          <w:sz w:val="24"/>
          <w:szCs w:val="24"/>
        </w:rPr>
      </w:pPr>
    </w:p>
    <w:p w:rsidR="00A83B33" w:rsidRDefault="00FC0D84">
      <w:pPr>
        <w:jc w:val="both"/>
        <w:rPr>
          <w:sz w:val="24"/>
          <w:szCs w:val="24"/>
        </w:rPr>
      </w:pPr>
      <w:r>
        <w:rPr>
          <w:sz w:val="24"/>
          <w:szCs w:val="24"/>
          <w:u w:val="single"/>
        </w:rPr>
        <w:t xml:space="preserve">(Within the same academic year) Extension from fall semester to </w:t>
      </w:r>
      <w:proofErr w:type="gramStart"/>
      <w:r>
        <w:rPr>
          <w:sz w:val="24"/>
          <w:szCs w:val="24"/>
          <w:u w:val="single"/>
        </w:rPr>
        <w:t xml:space="preserve">spring </w:t>
      </w:r>
      <w:r>
        <w:rPr>
          <w:sz w:val="24"/>
          <w:szCs w:val="24"/>
        </w:rPr>
        <w:t>:</w:t>
      </w:r>
      <w:proofErr w:type="gramEnd"/>
      <w:r>
        <w:rPr>
          <w:sz w:val="24"/>
          <w:szCs w:val="24"/>
        </w:rPr>
        <w:t xml:space="preserve"> If the situation of the students placed at the relevant partner university is not affected, the semester can be extended (by filling out the extension form) with the approval of the partner university and the Yeditepe Erasmus department coordinator.</w:t>
      </w:r>
    </w:p>
    <w:p w:rsidR="00A83B33" w:rsidRDefault="00C14817">
      <w:pPr>
        <w:jc w:val="both"/>
        <w:rPr>
          <w:sz w:val="24"/>
          <w:szCs w:val="24"/>
        </w:rPr>
      </w:pPr>
      <w:hyperlink r:id="rId16">
        <w:r w:rsidR="00FC0D84">
          <w:rPr>
            <w:color w:val="1155CC"/>
            <w:sz w:val="24"/>
            <w:szCs w:val="24"/>
            <w:u w:val="single"/>
          </w:rPr>
          <w:t>Extension Form</w:t>
        </w:r>
      </w:hyperlink>
    </w:p>
    <w:p w:rsidR="00A83B33" w:rsidRDefault="00FC0D84">
      <w:pPr>
        <w:numPr>
          <w:ilvl w:val="0"/>
          <w:numId w:val="1"/>
        </w:numPr>
        <w:jc w:val="both"/>
        <w:rPr>
          <w:sz w:val="24"/>
          <w:szCs w:val="24"/>
        </w:rPr>
      </w:pPr>
      <w:r>
        <w:rPr>
          <w:sz w:val="24"/>
          <w:szCs w:val="24"/>
        </w:rPr>
        <w:t xml:space="preserve">Course eligibility is also required for the extended semester and </w:t>
      </w:r>
      <w:r w:rsidRPr="003756A3">
        <w:rPr>
          <w:sz w:val="24"/>
          <w:szCs w:val="24"/>
        </w:rPr>
        <w:t>a learning</w:t>
      </w:r>
      <w:r>
        <w:rPr>
          <w:color w:val="1155CC"/>
          <w:sz w:val="24"/>
          <w:szCs w:val="24"/>
          <w:highlight w:val="yellow"/>
          <w:u w:val="single"/>
        </w:rPr>
        <w:t xml:space="preserve"> </w:t>
      </w:r>
      <w:r>
        <w:rPr>
          <w:sz w:val="24"/>
          <w:szCs w:val="24"/>
        </w:rPr>
        <w:t>agreement for studies must be prepared.</w:t>
      </w:r>
    </w:p>
    <w:p w:rsidR="00A83B33" w:rsidRDefault="00FC0D84">
      <w:pPr>
        <w:numPr>
          <w:ilvl w:val="0"/>
          <w:numId w:val="1"/>
        </w:numPr>
        <w:jc w:val="both"/>
        <w:rPr>
          <w:sz w:val="24"/>
          <w:szCs w:val="24"/>
        </w:rPr>
      </w:pPr>
      <w:r>
        <w:rPr>
          <w:sz w:val="24"/>
          <w:szCs w:val="24"/>
        </w:rPr>
        <w:t xml:space="preserve">The grant for the extended semester may only be possible within the budget possibilities after a single semester grant </w:t>
      </w:r>
      <w:proofErr w:type="gramStart"/>
      <w:r>
        <w:rPr>
          <w:sz w:val="24"/>
          <w:szCs w:val="24"/>
        </w:rPr>
        <w:t>has been allocated</w:t>
      </w:r>
      <w:proofErr w:type="gramEnd"/>
      <w:r>
        <w:rPr>
          <w:sz w:val="24"/>
          <w:szCs w:val="24"/>
        </w:rPr>
        <w:t xml:space="preserve"> to all students.</w:t>
      </w:r>
    </w:p>
    <w:p w:rsidR="00A83B33" w:rsidRDefault="00FC0D84">
      <w:pPr>
        <w:numPr>
          <w:ilvl w:val="0"/>
          <w:numId w:val="1"/>
        </w:numPr>
        <w:jc w:val="both"/>
        <w:rPr>
          <w:sz w:val="24"/>
          <w:szCs w:val="24"/>
        </w:rPr>
      </w:pPr>
      <w:r>
        <w:rPr>
          <w:sz w:val="24"/>
          <w:szCs w:val="24"/>
        </w:rPr>
        <w:t xml:space="preserve">If the partner university requests it, an application </w:t>
      </w:r>
      <w:proofErr w:type="gramStart"/>
      <w:r>
        <w:rPr>
          <w:sz w:val="24"/>
          <w:szCs w:val="24"/>
        </w:rPr>
        <w:t>must be made</w:t>
      </w:r>
      <w:proofErr w:type="gramEnd"/>
      <w:r>
        <w:rPr>
          <w:sz w:val="24"/>
          <w:szCs w:val="24"/>
        </w:rPr>
        <w:t xml:space="preserve"> to our Office and documents must be sent, taking into account the spring term nomination dates of the partner university.</w:t>
      </w:r>
    </w:p>
    <w:p w:rsidR="00A83B33" w:rsidRDefault="00A83B33">
      <w:pPr>
        <w:ind w:left="720"/>
        <w:jc w:val="both"/>
        <w:rPr>
          <w:sz w:val="24"/>
          <w:szCs w:val="24"/>
        </w:rPr>
      </w:pPr>
    </w:p>
    <w:p w:rsidR="00A83B33" w:rsidRDefault="00FC0D84">
      <w:pPr>
        <w:jc w:val="both"/>
        <w:rPr>
          <w:b/>
          <w:sz w:val="24"/>
          <w:szCs w:val="24"/>
          <w:u w:val="single"/>
        </w:rPr>
      </w:pPr>
      <w:r>
        <w:rPr>
          <w:b/>
          <w:sz w:val="24"/>
          <w:szCs w:val="24"/>
          <w:u w:val="single"/>
        </w:rPr>
        <w:t>Term Change and Cancellation</w:t>
      </w:r>
    </w:p>
    <w:p w:rsidR="00A83B33" w:rsidRDefault="00A83B33">
      <w:pPr>
        <w:jc w:val="both"/>
        <w:rPr>
          <w:sz w:val="24"/>
          <w:szCs w:val="24"/>
          <w:u w:val="single"/>
        </w:rPr>
      </w:pPr>
    </w:p>
    <w:p w:rsidR="00A83B33" w:rsidRDefault="00FC0D84">
      <w:pPr>
        <w:jc w:val="both"/>
        <w:rPr>
          <w:sz w:val="24"/>
          <w:szCs w:val="24"/>
        </w:rPr>
      </w:pPr>
      <w:r>
        <w:rPr>
          <w:sz w:val="24"/>
          <w:szCs w:val="24"/>
        </w:rPr>
        <w:t xml:space="preserve">Students who want to give up mobility or change the semester from fall to spring or from spring to fall within the same academic year must fill out the relevant </w:t>
      </w:r>
      <w:hyperlink r:id="rId17">
        <w:proofErr w:type="gramStart"/>
        <w:r>
          <w:rPr>
            <w:color w:val="1155CC"/>
            <w:sz w:val="24"/>
            <w:szCs w:val="24"/>
            <w:highlight w:val="yellow"/>
            <w:u w:val="single"/>
          </w:rPr>
          <w:t xml:space="preserve">form </w:t>
        </w:r>
        <w:proofErr w:type="gramEnd"/>
      </w:hyperlink>
      <w:r>
        <w:rPr>
          <w:sz w:val="24"/>
          <w:szCs w:val="24"/>
        </w:rPr>
        <w:t>.</w:t>
      </w:r>
    </w:p>
    <w:p w:rsidR="00A83B33" w:rsidRDefault="00FC0D84">
      <w:pPr>
        <w:numPr>
          <w:ilvl w:val="0"/>
          <w:numId w:val="6"/>
        </w:numPr>
        <w:jc w:val="both"/>
        <w:rPr>
          <w:sz w:val="24"/>
          <w:szCs w:val="24"/>
        </w:rPr>
      </w:pPr>
      <w:r>
        <w:rPr>
          <w:sz w:val="24"/>
          <w:szCs w:val="24"/>
        </w:rPr>
        <w:t xml:space="preserve">When changing semesters, the last nomination and application dates of the partner universities </w:t>
      </w:r>
      <w:proofErr w:type="gramStart"/>
      <w:r>
        <w:rPr>
          <w:sz w:val="24"/>
          <w:szCs w:val="24"/>
        </w:rPr>
        <w:t>must be observed</w:t>
      </w:r>
      <w:proofErr w:type="gramEnd"/>
      <w:r>
        <w:rPr>
          <w:sz w:val="24"/>
          <w:szCs w:val="24"/>
        </w:rPr>
        <w:t>.</w:t>
      </w:r>
    </w:p>
    <w:sectPr w:rsidR="00A83B33">
      <w:headerReference w:type="default" r:id="rId18"/>
      <w:pgSz w:w="11909" w:h="16834"/>
      <w:pgMar w:top="1440" w:right="1440"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817" w:rsidRDefault="00C14817">
      <w:pPr>
        <w:spacing w:line="240" w:lineRule="auto"/>
      </w:pPr>
      <w:r>
        <w:separator/>
      </w:r>
    </w:p>
  </w:endnote>
  <w:endnote w:type="continuationSeparator" w:id="0">
    <w:p w:rsidR="00C14817" w:rsidRDefault="00C148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817" w:rsidRDefault="00C14817">
      <w:pPr>
        <w:spacing w:line="240" w:lineRule="auto"/>
      </w:pPr>
      <w:r>
        <w:separator/>
      </w:r>
    </w:p>
  </w:footnote>
  <w:footnote w:type="continuationSeparator" w:id="0">
    <w:p w:rsidR="00C14817" w:rsidRDefault="00C148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33" w:rsidRDefault="00FC0D84">
    <w:pPr>
      <w:pBdr>
        <w:top w:val="nil"/>
        <w:left w:val="nil"/>
        <w:bottom w:val="nil"/>
        <w:right w:val="nil"/>
        <w:between w:val="nil"/>
      </w:pBdr>
      <w:tabs>
        <w:tab w:val="center" w:pos="4680"/>
        <w:tab w:val="right" w:pos="9360"/>
      </w:tabs>
      <w:spacing w:line="240" w:lineRule="auto"/>
      <w:rPr>
        <w:color w:val="000000"/>
      </w:rPr>
    </w:pPr>
    <w:r>
      <w:rPr>
        <w:noProof/>
        <w:lang w:val="en-US"/>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-47624</wp:posOffset>
          </wp:positionV>
          <wp:extent cx="1542415" cy="507365"/>
          <wp:effectExtent l="0" t="0" r="0" b="0"/>
          <wp:wrapSquare wrapText="bothSides" distT="0" distB="0" distL="114300" distR="114300"/>
          <wp:docPr id="4" name="image2.png" descr="C:\Users\burcu.emre\AppData\Local\Microsoft\Windows\INetCache\Content.Word\25-3ENG - sadece logo.png"/>
          <wp:cNvGraphicFramePr/>
          <a:graphic xmlns:a="http://schemas.openxmlformats.org/drawingml/2006/main">
            <a:graphicData uri="http://schemas.openxmlformats.org/drawingml/2006/picture">
              <pic:pic xmlns:pic="http://schemas.openxmlformats.org/drawingml/2006/picture">
                <pic:nvPicPr>
                  <pic:cNvPr id="0" name="image2.png" descr="C:\Users\burcu.emre\AppData\Local\Microsoft\Windows\INetCache\Content.Word\25-3ENG - sadece logo.png"/>
                  <pic:cNvPicPr preferRelativeResize="0"/>
                </pic:nvPicPr>
                <pic:blipFill>
                  <a:blip r:embed="rId1"/>
                  <a:srcRect/>
                  <a:stretch>
                    <a:fillRect/>
                  </a:stretch>
                </pic:blipFill>
                <pic:spPr>
                  <a:xfrm>
                    <a:off x="0" y="0"/>
                    <a:ext cx="1542415" cy="507365"/>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column">
            <wp:posOffset>4349861</wp:posOffset>
          </wp:positionH>
          <wp:positionV relativeFrom="paragraph">
            <wp:posOffset>-28048</wp:posOffset>
          </wp:positionV>
          <wp:extent cx="1566545" cy="449580"/>
          <wp:effectExtent l="0" t="0" r="0" b="0"/>
          <wp:wrapSquare wrapText="bothSides" distT="0" distB="0" distL="114300" distR="114300"/>
          <wp:docPr id="5" name="image1.png" descr="C:\Users\burcu.emre\AppData\Local\Microsoft\Windows\INetCache\Content.Word\EU-flag-Erasmus-300x86.png"/>
          <wp:cNvGraphicFramePr/>
          <a:graphic xmlns:a="http://schemas.openxmlformats.org/drawingml/2006/main">
            <a:graphicData uri="http://schemas.openxmlformats.org/drawingml/2006/picture">
              <pic:pic xmlns:pic="http://schemas.openxmlformats.org/drawingml/2006/picture">
                <pic:nvPicPr>
                  <pic:cNvPr id="0" name="image1.png" descr="C:\Users\burcu.emre\AppData\Local\Microsoft\Windows\INetCache\Content.Word\EU-flag-Erasmus-300x86.png"/>
                  <pic:cNvPicPr preferRelativeResize="0"/>
                </pic:nvPicPr>
                <pic:blipFill>
                  <a:blip r:embed="rId2"/>
                  <a:srcRect/>
                  <a:stretch>
                    <a:fillRect/>
                  </a:stretch>
                </pic:blipFill>
                <pic:spPr>
                  <a:xfrm>
                    <a:off x="0" y="0"/>
                    <a:ext cx="1566545" cy="449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4D57"/>
    <w:multiLevelType w:val="multilevel"/>
    <w:tmpl w:val="A0542488"/>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B04321"/>
    <w:multiLevelType w:val="multilevel"/>
    <w:tmpl w:val="33965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2D7DA1"/>
    <w:multiLevelType w:val="multilevel"/>
    <w:tmpl w:val="DE028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151F70"/>
    <w:multiLevelType w:val="multilevel"/>
    <w:tmpl w:val="80748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B26737"/>
    <w:multiLevelType w:val="multilevel"/>
    <w:tmpl w:val="0206F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3555EC"/>
    <w:multiLevelType w:val="multilevel"/>
    <w:tmpl w:val="2C006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6004D6"/>
    <w:multiLevelType w:val="multilevel"/>
    <w:tmpl w:val="7D905F3E"/>
    <w:lvl w:ilvl="0">
      <w:start w:val="2"/>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9050125"/>
    <w:multiLevelType w:val="multilevel"/>
    <w:tmpl w:val="0F186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741DEF"/>
    <w:multiLevelType w:val="multilevel"/>
    <w:tmpl w:val="391C6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404723"/>
    <w:multiLevelType w:val="multilevel"/>
    <w:tmpl w:val="995848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6F31672"/>
    <w:multiLevelType w:val="multilevel"/>
    <w:tmpl w:val="8E0CE5CC"/>
    <w:lvl w:ilvl="0">
      <w:start w:val="1"/>
      <w:numFmt w:val="lowerLetter"/>
      <w:lvlText w:val="%1)"/>
      <w:lvlJc w:val="left"/>
      <w:pPr>
        <w:ind w:left="3479"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11" w15:restartNumberingAfterBreak="0">
    <w:nsid w:val="7B7F0FEA"/>
    <w:multiLevelType w:val="multilevel"/>
    <w:tmpl w:val="8F6CC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8E44FB"/>
    <w:multiLevelType w:val="multilevel"/>
    <w:tmpl w:val="3FBC8C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7"/>
  </w:num>
  <w:num w:numId="2">
    <w:abstractNumId w:val="11"/>
  </w:num>
  <w:num w:numId="3">
    <w:abstractNumId w:val="3"/>
  </w:num>
  <w:num w:numId="4">
    <w:abstractNumId w:val="10"/>
  </w:num>
  <w:num w:numId="5">
    <w:abstractNumId w:val="4"/>
  </w:num>
  <w:num w:numId="6">
    <w:abstractNumId w:val="1"/>
  </w:num>
  <w:num w:numId="7">
    <w:abstractNumId w:val="8"/>
  </w:num>
  <w:num w:numId="8">
    <w:abstractNumId w:val="5"/>
  </w:num>
  <w:num w:numId="9">
    <w:abstractNumId w:val="9"/>
  </w:num>
  <w:num w:numId="10">
    <w:abstractNumId w:val="2"/>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33"/>
    <w:rsid w:val="001765F4"/>
    <w:rsid w:val="0035515D"/>
    <w:rsid w:val="003756A3"/>
    <w:rsid w:val="00644028"/>
    <w:rsid w:val="00832B60"/>
    <w:rsid w:val="008D785A"/>
    <w:rsid w:val="00A83B33"/>
    <w:rsid w:val="00C14817"/>
    <w:rsid w:val="00CA11E0"/>
    <w:rsid w:val="00FC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8AE5"/>
  <w15:docId w15:val="{B1D4C6F2-C35D-4CFB-9EE9-918859D1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A5EB9"/>
    <w:pPr>
      <w:ind w:left="720"/>
      <w:contextualSpacing/>
    </w:pPr>
  </w:style>
  <w:style w:type="table" w:styleId="TableGrid">
    <w:name w:val="Table Grid"/>
    <w:basedOn w:val="TableNormal"/>
    <w:uiPriority w:val="39"/>
    <w:rsid w:val="002A5E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EB9"/>
    <w:pPr>
      <w:tabs>
        <w:tab w:val="center" w:pos="4680"/>
        <w:tab w:val="right" w:pos="9360"/>
      </w:tabs>
      <w:spacing w:line="240" w:lineRule="auto"/>
    </w:pPr>
  </w:style>
  <w:style w:type="character" w:customStyle="1" w:styleId="HeaderChar">
    <w:name w:val="Header Char"/>
    <w:basedOn w:val="DefaultParagraphFont"/>
    <w:link w:val="Header"/>
    <w:uiPriority w:val="99"/>
    <w:rsid w:val="002A5EB9"/>
  </w:style>
  <w:style w:type="paragraph" w:styleId="Footer">
    <w:name w:val="footer"/>
    <w:basedOn w:val="Normal"/>
    <w:link w:val="FooterChar"/>
    <w:uiPriority w:val="99"/>
    <w:unhideWhenUsed/>
    <w:rsid w:val="002A5EB9"/>
    <w:pPr>
      <w:tabs>
        <w:tab w:val="center" w:pos="4680"/>
        <w:tab w:val="right" w:pos="9360"/>
      </w:tabs>
      <w:spacing w:line="240" w:lineRule="auto"/>
    </w:pPr>
  </w:style>
  <w:style w:type="character" w:customStyle="1" w:styleId="FooterChar">
    <w:name w:val="Footer Char"/>
    <w:basedOn w:val="DefaultParagraphFont"/>
    <w:link w:val="Footer"/>
    <w:uiPriority w:val="99"/>
    <w:rsid w:val="002A5EB9"/>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756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et.google.com/edt-oxtn-fvh" TargetMode="External"/><Relationship Id="rId13" Type="http://schemas.openxmlformats.org/officeDocument/2006/relationships/hyperlink" Target="https://erasmusbasvuru.ua.gov.t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ational.yeditepe.edu.tr/tr/international/academic-unit-coordinators/akademik-birim-koordinatorleri" TargetMode="External"/><Relationship Id="rId17" Type="http://schemas.openxmlformats.org/officeDocument/2006/relationships/hyperlink" Target="https://forms.gle/2kv5SBAgJCtuzrJJ6" TargetMode="External"/><Relationship Id="rId2" Type="http://schemas.openxmlformats.org/officeDocument/2006/relationships/numbering" Target="numbering.xml"/><Relationship Id="rId16" Type="http://schemas.openxmlformats.org/officeDocument/2006/relationships/hyperlink" Target="https://international.yeditepe.edu.tr/sites/international.yeditepe.edu.tr/files/2023-11/extension_form.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ational.yeditepe.edu.tr/sites/international.yeditepe.edu.tr/files/2023-11/yabanci_dil_esdegerlik_tablosu.pdf" TargetMode="External"/><Relationship Id="rId5" Type="http://schemas.openxmlformats.org/officeDocument/2006/relationships/webSettings" Target="webSettings.xml"/><Relationship Id="rId15" Type="http://schemas.openxmlformats.org/officeDocument/2006/relationships/hyperlink" Target="https://international.yeditepe.edu.tr/sites/international.yeditepe.edu.tr/files/inline-files/guncelleme-erasmus-ogrenim-ve-staj-hareketliligi-hibe-dagitim-yontemi-ve-kesintileri.docx-1.pdf" TargetMode="External"/><Relationship Id="rId10" Type="http://schemas.openxmlformats.org/officeDocument/2006/relationships/hyperlink" Target="https://meet.google.com/fnk-dbzs-ag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et.google.com/tyc-mhhk-qrb" TargetMode="External"/><Relationship Id="rId14" Type="http://schemas.openxmlformats.org/officeDocument/2006/relationships/hyperlink" Target="https://international.yeditepe.edu.tr/sites/international.yeditepe.edu.tr/files/inline-files/guncelleme-erasmus-ogrenim-ve-staj-hareketliligi-hibe-dagitim-yontemi-ve-kesintileri.docx-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deulhUUTBYECaXdTg8EsC9UK6Q==">CgMxLjAyCGguZ2pkZ3hzOAByITF2Y0cxYzZuczllamE4NkVoMWdubkNHdEpXazlXdjU1ZQ==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Atalay Emre</dc:creator>
  <cp:lastModifiedBy>Burcu Atalay Emre</cp:lastModifiedBy>
  <cp:revision>6</cp:revision>
  <dcterms:created xsi:type="dcterms:W3CDTF">2024-03-06T12:21:00Z</dcterms:created>
  <dcterms:modified xsi:type="dcterms:W3CDTF">2024-03-11T14:01:00Z</dcterms:modified>
</cp:coreProperties>
</file>